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Computerized System Inventory and Access Log</w:t>
      </w:r>
    </w:p>
    <w:p>
      <w:r>
        <w:rPr>
          <w:b/>
          <w:sz w:val="18"/>
        </w:rPr>
        <w:t xml:space="preserve">Purpose: </w:t>
      </w:r>
      <w:r>
        <w:rPr>
          <w:b w:val="0"/>
          <w:sz w:val="18"/>
        </w:rPr>
        <w:t>Lists the computerized systems used for trial records with their risk category, fitness evidence, backup and recovery target, and records staff, monitor, auditor and FDA access, annual access reviews, incidents and approved AI tools.</w:t>
      </w:r>
    </w:p>
    <w:p>
      <w:pPr>
        <w:spacing w:after="0"/>
      </w:pPr>
      <w:r>
        <w:rPr>
          <w:b/>
          <w:sz w:val="18"/>
        </w:rPr>
        <w:t>Instructions</w:t>
      </w:r>
    </w:p>
    <w:p>
      <w:pPr>
        <w:pStyle w:val="ListBullet"/>
        <w:spacing w:after="0"/>
      </w:pPr>
      <w:r>
        <w:rPr>
          <w:b w:val="0"/>
          <w:sz w:val="18"/>
        </w:rPr>
        <w:t>The Quality Lead lists each system before trial use, with risk category and validation evidence; the Site Director approves open issues (SOP-12 5.6.1, 5.6.2). Site-managed backups are restore-tested annually (SOP-12 5.8.1); recovery targets come from the IT support or vendor agreement (SOP-16 5.4.3).</w:t>
      </w:r>
    </w:p>
    <w:p>
      <w:pPr>
        <w:pStyle w:val="ListBullet"/>
        <w:spacing w:after="0"/>
      </w:pPr>
      <w:r>
        <w:rPr>
          <w:b w:val="0"/>
          <w:sz w:val="18"/>
        </w:rPr>
        <w:t>System Owners record each grant, change and removal; the Regulatory Coordinator records sponsor system requests. Grant access only after training and delegation; no shared log-ins (SOP-12 5.7.1).</w:t>
      </w:r>
    </w:p>
    <w:p>
      <w:pPr>
        <w:pStyle w:val="ListBullet"/>
        <w:spacing w:after="0"/>
      </w:pPr>
      <w:r>
        <w:rPr>
          <w:b w:val="0"/>
          <w:sz w:val="18"/>
        </w:rPr>
        <w:t xml:space="preserve">Remove site access on </w:t>
      </w:r>
      <w:r>
        <w:rPr>
          <w:b w:val="0"/>
          <w:sz w:val="18"/>
          <w:highlight w:val="green"/>
        </w:rPr>
        <w:t>[DEFAULT: the last working day]</w:t>
      </w:r>
      <w:r>
        <w:rPr>
          <w:b w:val="0"/>
          <w:sz w:val="18"/>
        </w:rPr>
        <w:t xml:space="preserve"> and adjust it </w:t>
      </w:r>
      <w:r>
        <w:rPr>
          <w:b w:val="0"/>
          <w:sz w:val="18"/>
          <w:highlight w:val="green"/>
        </w:rPr>
        <w:t>[DEFAULT: within 5 business days]</w:t>
      </w:r>
      <w:r>
        <w:rPr>
          <w:b w:val="0"/>
          <w:sz w:val="18"/>
        </w:rPr>
        <w:t xml:space="preserve"> of a role change; ask sponsors to revoke access the same business day (SOP-12 5.7.2).</w:t>
      </w:r>
    </w:p>
    <w:p>
      <w:pPr>
        <w:pStyle w:val="ListBullet"/>
        <w:spacing w:after="0"/>
      </w:pPr>
      <w:r>
        <w:rPr>
          <w:b w:val="0"/>
          <w:sz w:val="18"/>
        </w:rPr>
        <w:t>The Quality Lead approves each monitor, auditor or FDA account before use: one named, read-only, time-limited account limited to the study's participants, with a signed access agreement for monitors and auditors (SOP-13 5.1.3). Remove it at study close (SOP-15 5.3.4).</w:t>
      </w:r>
    </w:p>
    <w:p>
      <w:pPr>
        <w:pStyle w:val="ListBullet"/>
        <w:spacing w:after="0"/>
      </w:pPr>
      <w:r>
        <w:rPr>
          <w:b w:val="0"/>
          <w:sz w:val="18"/>
        </w:rPr>
        <w:t xml:space="preserve">Annually and at every departure, the Quality Lead reviews High-system user lists against staff and delegation logs; at the annual review, also check the audit trail of </w:t>
      </w:r>
      <w:r>
        <w:rPr>
          <w:b w:val="0"/>
          <w:sz w:val="18"/>
          <w:highlight w:val="green"/>
        </w:rPr>
        <w:t>[DEFAULT: a sample of 10 records]</w:t>
      </w:r>
      <w:r>
        <w:rPr>
          <w:b w:val="0"/>
          <w:sz w:val="18"/>
        </w:rPr>
        <w:t xml:space="preserve"> in each site-controlled system holding source (SOP-12 5.7.3). Record both in Part 5.</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Site name</w:t>
            </w:r>
          </w:p>
        </w:tc>
        <w:tc>
          <w:tcPr>
            <w:tcW w:type="dxa" w:w="2447"/>
          </w:tcPr>
          <w:p/>
        </w:tc>
        <w:tc>
          <w:tcPr>
            <w:tcW w:type="dxa" w:w="2160"/>
            <w:shd w:val="clear" w:color="auto" w:fill="D9E2F3"/>
          </w:tcPr>
          <w:p>
            <w:pPr>
              <w:spacing w:after="0"/>
            </w:pPr>
            <w:r>
              <w:rPr>
                <w:b/>
                <w:sz w:val="17"/>
              </w:rPr>
              <w:t>Log updated on</w:t>
            </w:r>
          </w:p>
        </w:tc>
        <w:tc>
          <w:tcPr>
            <w:tcW w:type="dxa" w:w="2447"/>
          </w:tcPr>
          <w:p/>
        </w:tc>
        <w:tc>
          <w:tcPr>
            <w:tcW w:type="dxa" w:w="2160"/>
            <w:shd w:val="clear" w:color="auto" w:fill="D9E2F3"/>
          </w:tcPr>
          <w:p>
            <w:pPr>
              <w:spacing w:after="0"/>
            </w:pPr>
            <w:r>
              <w:rPr>
                <w:b/>
                <w:sz w:val="17"/>
              </w:rPr>
              <w:t>Updated by</w:t>
            </w:r>
          </w:p>
        </w:tc>
        <w:tc>
          <w:tcPr>
            <w:tcW w:type="dxa" w:w="2447"/>
          </w:tcPr>
          <w:p/>
        </w:tc>
      </w:tr>
      <w:tr>
        <w:trPr>
          <w:trHeight w:val="432"/>
        </w:trPr>
        <w:tc>
          <w:tcPr>
            <w:tcW w:type="dxa" w:w="2160"/>
            <w:shd w:val="clear" w:color="auto" w:fill="D9E2F3"/>
          </w:tcPr>
          <w:p>
            <w:pPr>
              <w:spacing w:after="0"/>
            </w:pPr>
            <w:r>
              <w:rPr>
                <w:b/>
                <w:sz w:val="17"/>
              </w:rPr>
              <w:t>Part 11 letter of non-repudiation sent to FDA (date) (SOP-12 5.7.5)</w:t>
            </w:r>
          </w:p>
        </w:tc>
        <w:tc>
          <w:tcPr>
            <w:tcW w:type="dxa" w:w="2447"/>
          </w:tcPr>
          <w:p/>
        </w:tc>
        <w:tc>
          <w:tcPr>
            <w:tcW w:type="dxa" w:w="2160"/>
          </w:tcPr>
          <w:p/>
        </w:tc>
        <w:tc>
          <w:tcPr>
            <w:tcW w:type="dxa" w:w="2447"/>
          </w:tcPr>
          <w:p/>
        </w:tc>
        <w:tc>
          <w:tcPr>
            <w:tcW w:type="dxa" w:w="2160"/>
          </w:tcPr>
          <w:p/>
        </w:tc>
        <w:tc>
          <w:tcPr>
            <w:tcW w:type="dxa" w:w="2447"/>
          </w:tcPr>
          <w:p/>
        </w:tc>
      </w:tr>
    </w:tbl>
    <w:p>
      <w:pPr>
        <w:spacing w:after="0"/>
      </w:pPr>
    </w:p>
    <w:p>
      <w:pPr>
        <w:pStyle w:val="Heading2"/>
      </w:pPr>
      <w:r>
        <w:t>Part 1. System inventory</w:t>
      </w:r>
    </w:p>
    <w:tbl>
      <w:tblPr>
        <w:tblStyle w:val="TableGrid"/>
        <w:tblW w:type="auto" w:w="0"/>
        <w:jc w:val="left"/>
        <w:tblLayout w:type="fixed"/>
        <w:tblLook w:firstColumn="1" w:firstRow="1" w:lastColumn="0" w:lastRow="0" w:noHBand="0" w:noVBand="1" w:val="04A0"/>
      </w:tblPr>
      <w:tblGrid>
        <w:gridCol w:w="2304"/>
        <w:gridCol w:w="1152"/>
        <w:gridCol w:w="1152"/>
        <w:gridCol w:w="2304"/>
        <w:gridCol w:w="2304"/>
        <w:gridCol w:w="1152"/>
        <w:gridCol w:w="1152"/>
        <w:gridCol w:w="1152"/>
        <w:gridCol w:w="1152"/>
      </w:tblGrid>
      <w:tr>
        <w:trPr>
          <w:tblHeader w:val="true"/>
        </w:trPr>
        <w:tc>
          <w:tcPr>
            <w:tcW w:type="dxa" w:w="2304"/>
            <w:shd w:val="clear" w:color="auto" w:fill="D9E2F3"/>
          </w:tcPr>
          <w:p>
            <w:pPr>
              <w:spacing w:after="0"/>
            </w:pPr>
            <w:r>
              <w:rPr>
                <w:b/>
                <w:sz w:val="17"/>
              </w:rPr>
              <w:t>System name and version</w:t>
            </w:r>
          </w:p>
        </w:tc>
        <w:tc>
          <w:tcPr>
            <w:tcW w:type="dxa" w:w="1152"/>
            <w:shd w:val="clear" w:color="auto" w:fill="D9E2F3"/>
          </w:tcPr>
          <w:p>
            <w:pPr>
              <w:spacing w:after="0"/>
            </w:pPr>
            <w:r>
              <w:rPr>
                <w:b/>
                <w:sz w:val="17"/>
              </w:rPr>
              <w:t>Vendor</w:t>
            </w:r>
          </w:p>
        </w:tc>
        <w:tc>
          <w:tcPr>
            <w:tcW w:type="dxa" w:w="1152"/>
            <w:shd w:val="clear" w:color="auto" w:fill="D9E2F3"/>
          </w:tcPr>
          <w:p>
            <w:pPr>
              <w:spacing w:after="0"/>
            </w:pPr>
            <w:r>
              <w:rPr>
                <w:b/>
                <w:sz w:val="17"/>
              </w:rPr>
              <w:t>Site or sponsor deployed</w:t>
            </w:r>
          </w:p>
        </w:tc>
        <w:tc>
          <w:tcPr>
            <w:tcW w:type="dxa" w:w="2304"/>
            <w:shd w:val="clear" w:color="auto" w:fill="D9E2F3"/>
          </w:tcPr>
          <w:p>
            <w:pPr>
              <w:spacing w:after="0"/>
            </w:pPr>
            <w:r>
              <w:rPr>
                <w:b/>
                <w:sz w:val="17"/>
              </w:rPr>
              <w:t>Intended use and studies supported</w:t>
            </w:r>
          </w:p>
        </w:tc>
        <w:tc>
          <w:tcPr>
            <w:tcW w:type="dxa" w:w="2304"/>
            <w:shd w:val="clear" w:color="auto" w:fill="D9E2F3"/>
          </w:tcPr>
          <w:p>
            <w:pPr>
              <w:spacing w:after="0"/>
            </w:pPr>
            <w:r>
              <w:rPr>
                <w:b/>
                <w:sz w:val="17"/>
              </w:rPr>
              <w:t>Holds source, consent, essential records or PHI (list)</w:t>
            </w:r>
          </w:p>
        </w:tc>
        <w:tc>
          <w:tcPr>
            <w:tcW w:type="dxa" w:w="1152"/>
            <w:shd w:val="clear" w:color="auto" w:fill="D9E2F3"/>
          </w:tcPr>
          <w:p>
            <w:pPr>
              <w:spacing w:after="0"/>
            </w:pPr>
            <w:r>
              <w:rPr>
                <w:b/>
                <w:sz w:val="17"/>
              </w:rPr>
              <w:t>System Owner</w:t>
            </w:r>
          </w:p>
        </w:tc>
        <w:tc>
          <w:tcPr>
            <w:tcW w:type="dxa" w:w="1152"/>
            <w:shd w:val="clear" w:color="auto" w:fill="D9E2F3"/>
          </w:tcPr>
          <w:p>
            <w:pPr>
              <w:spacing w:after="0"/>
            </w:pPr>
            <w:r>
              <w:rPr>
                <w:b/>
                <w:sz w:val="17"/>
              </w:rPr>
              <w:t>Risk (High, Medium, other)</w:t>
            </w:r>
          </w:p>
        </w:tc>
        <w:tc>
          <w:tcPr>
            <w:tcW w:type="dxa" w:w="1152"/>
            <w:shd w:val="clear" w:color="auto" w:fill="D9E2F3"/>
          </w:tcPr>
          <w:p>
            <w:pPr>
              <w:spacing w:after="0"/>
            </w:pPr>
            <w:r>
              <w:rPr>
                <w:b/>
                <w:sz w:val="17"/>
              </w:rPr>
              <w:t>Validation evidence and site check location</w:t>
            </w:r>
          </w:p>
        </w:tc>
        <w:tc>
          <w:tcPr>
            <w:tcW w:type="dxa" w:w="1152"/>
            <w:shd w:val="clear" w:color="auto" w:fill="D9E2F3"/>
          </w:tcPr>
          <w:p>
            <w:pPr>
              <w:spacing w:after="0"/>
            </w:pPr>
            <w:r>
              <w:rPr>
                <w:b/>
                <w:sz w:val="17"/>
              </w:rPr>
              <w:t>Site Director approval of open issues (date)</w:t>
            </w: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r>
        <w:trPr>
          <w:cantSplit w:val="true"/>
          <w:trHeight w:val="461"/>
        </w:trPr>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r>
    </w:tbl>
    <w:p>
      <w:pPr>
        <w:spacing w:after="40"/>
      </w:pPr>
    </w:p>
    <w:p>
      <w:pPr>
        <w:pStyle w:val="Heading2"/>
      </w:pPr>
      <w:r>
        <w:t>Part 2. Backup and recovery (High and Medium systems)</w:t>
      </w:r>
    </w:p>
    <w:tbl>
      <w:tblPr>
        <w:tblStyle w:val="TableGrid"/>
        <w:tblW w:type="auto" w:w="0"/>
        <w:jc w:val="left"/>
        <w:tblLayout w:type="fixed"/>
        <w:tblLook w:firstColumn="1" w:firstRow="1" w:lastColumn="0" w:lastRow="0" w:noHBand="0" w:noVBand="1" w:val="04A0"/>
      </w:tblPr>
      <w:tblGrid>
        <w:gridCol w:w="2304"/>
        <w:gridCol w:w="2304"/>
        <w:gridCol w:w="2304"/>
        <w:gridCol w:w="2304"/>
        <w:gridCol w:w="1152"/>
        <w:gridCol w:w="1152"/>
        <w:gridCol w:w="2304"/>
      </w:tblGrid>
      <w:tr>
        <w:trPr>
          <w:tblHeader w:val="true"/>
        </w:trPr>
        <w:tc>
          <w:tcPr>
            <w:tcW w:type="dxa" w:w="2304"/>
            <w:shd w:val="clear" w:color="auto" w:fill="D9E2F3"/>
          </w:tcPr>
          <w:p>
            <w:pPr>
              <w:spacing w:after="0"/>
            </w:pPr>
            <w:r>
              <w:rPr>
                <w:b/>
                <w:sz w:val="17"/>
              </w:rPr>
              <w:t>System</w:t>
            </w:r>
          </w:p>
        </w:tc>
        <w:tc>
          <w:tcPr>
            <w:tcW w:type="dxa" w:w="2304"/>
            <w:shd w:val="clear" w:color="auto" w:fill="D9E2F3"/>
          </w:tcPr>
          <w:p>
            <w:pPr>
              <w:spacing w:after="0"/>
            </w:pPr>
            <w:r>
              <w:rPr>
                <w:b/>
                <w:sz w:val="17"/>
              </w:rPr>
              <w:t>Backup by (vendor or site) and frequency</w:t>
            </w:r>
          </w:p>
        </w:tc>
        <w:tc>
          <w:tcPr>
            <w:tcW w:type="dxa" w:w="2304"/>
            <w:shd w:val="clear" w:color="auto" w:fill="D9E2F3"/>
          </w:tcPr>
          <w:p>
            <w:pPr>
              <w:spacing w:after="0"/>
            </w:pPr>
            <w:r>
              <w:rPr>
                <w:b/>
                <w:sz w:val="17"/>
              </w:rPr>
              <w:t>Backup location</w:t>
            </w:r>
          </w:p>
        </w:tc>
        <w:tc>
          <w:tcPr>
            <w:tcW w:type="dxa" w:w="2304"/>
            <w:shd w:val="clear" w:color="auto" w:fill="D9E2F3"/>
          </w:tcPr>
          <w:p>
            <w:pPr>
              <w:spacing w:after="0"/>
            </w:pPr>
            <w:r>
              <w:rPr>
                <w:b/>
                <w:sz w:val="17"/>
              </w:rPr>
              <w:t>Restore method</w:t>
            </w:r>
          </w:p>
        </w:tc>
        <w:tc>
          <w:tcPr>
            <w:tcW w:type="dxa" w:w="1152"/>
            <w:shd w:val="clear" w:color="auto" w:fill="D9E2F3"/>
          </w:tcPr>
          <w:p>
            <w:pPr>
              <w:spacing w:after="0"/>
            </w:pPr>
            <w:r>
              <w:rPr>
                <w:b/>
                <w:sz w:val="17"/>
              </w:rPr>
              <w:t>Recovery target</w:t>
            </w:r>
          </w:p>
        </w:tc>
        <w:tc>
          <w:tcPr>
            <w:tcW w:type="dxa" w:w="1152"/>
            <w:shd w:val="clear" w:color="auto" w:fill="D9E2F3"/>
          </w:tcPr>
          <w:p>
            <w:pPr>
              <w:spacing w:after="0"/>
            </w:pPr>
            <w:r>
              <w:rPr>
                <w:b/>
                <w:sz w:val="17"/>
              </w:rPr>
              <w:t>Last restore test (annual)</w:t>
            </w:r>
          </w:p>
        </w:tc>
        <w:tc>
          <w:tcPr>
            <w:tcW w:type="dxa" w:w="2304"/>
            <w:shd w:val="clear" w:color="auto" w:fill="D9E2F3"/>
          </w:tcPr>
          <w:p>
            <w:pPr>
              <w:spacing w:after="0"/>
            </w:pPr>
            <w:r>
              <w:rPr>
                <w:b/>
                <w:sz w:val="17"/>
              </w:rPr>
              <w:t>Downtime procedure (SOP-16 5.4)</w:t>
            </w: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r>
    </w:tbl>
    <w:p>
      <w:pPr>
        <w:spacing w:after="40"/>
      </w:pPr>
    </w:p>
    <w:p>
      <w:pPr>
        <w:pStyle w:val="Heading2"/>
      </w:pPr>
      <w:r>
        <w:t>Part 3. Staff access</w:t>
      </w:r>
    </w:p>
    <w:tbl>
      <w:tblPr>
        <w:tblStyle w:val="TableGrid"/>
        <w:tblW w:type="auto" w:w="0"/>
        <w:jc w:val="left"/>
        <w:tblLayout w:type="fixed"/>
        <w:tblLook w:firstColumn="1" w:firstRow="1" w:lastColumn="0" w:lastRow="0" w:noHBand="0" w:noVBand="1" w:val="04A0"/>
      </w:tblPr>
      <w:tblGrid>
        <w:gridCol w:w="2764"/>
        <w:gridCol w:w="1382"/>
        <w:gridCol w:w="2764"/>
        <w:gridCol w:w="1382"/>
        <w:gridCol w:w="1382"/>
        <w:gridCol w:w="1382"/>
        <w:gridCol w:w="1382"/>
        <w:gridCol w:w="1382"/>
      </w:tblGrid>
      <w:tr>
        <w:trPr>
          <w:tblHeader w:val="true"/>
        </w:trPr>
        <w:tc>
          <w:tcPr>
            <w:tcW w:type="dxa" w:w="2764"/>
            <w:shd w:val="clear" w:color="auto" w:fill="D9E2F3"/>
          </w:tcPr>
          <w:p>
            <w:pPr>
              <w:spacing w:after="0"/>
            </w:pPr>
            <w:r>
              <w:rPr>
                <w:b/>
                <w:sz w:val="17"/>
              </w:rPr>
              <w:t>User name</w:t>
            </w:r>
          </w:p>
        </w:tc>
        <w:tc>
          <w:tcPr>
            <w:tcW w:type="dxa" w:w="1382"/>
            <w:shd w:val="clear" w:color="auto" w:fill="D9E2F3"/>
          </w:tcPr>
          <w:p>
            <w:pPr>
              <w:spacing w:after="0"/>
            </w:pPr>
            <w:r>
              <w:rPr>
                <w:b/>
                <w:sz w:val="17"/>
              </w:rPr>
              <w:t>Role</w:t>
            </w:r>
          </w:p>
        </w:tc>
        <w:tc>
          <w:tcPr>
            <w:tcW w:type="dxa" w:w="2764"/>
            <w:shd w:val="clear" w:color="auto" w:fill="D9E2F3"/>
          </w:tcPr>
          <w:p>
            <w:pPr>
              <w:spacing w:after="0"/>
            </w:pPr>
            <w:r>
              <w:rPr>
                <w:b/>
                <w:sz w:val="17"/>
              </w:rPr>
              <w:t>System</w:t>
            </w:r>
          </w:p>
        </w:tc>
        <w:tc>
          <w:tcPr>
            <w:tcW w:type="dxa" w:w="1382"/>
            <w:shd w:val="clear" w:color="auto" w:fill="D9E2F3"/>
          </w:tcPr>
          <w:p>
            <w:pPr>
              <w:spacing w:after="0"/>
            </w:pPr>
            <w:r>
              <w:rPr>
                <w:b/>
                <w:sz w:val="17"/>
              </w:rPr>
              <w:t>Access level</w:t>
            </w:r>
          </w:p>
        </w:tc>
        <w:tc>
          <w:tcPr>
            <w:tcW w:type="dxa" w:w="1382"/>
            <w:shd w:val="clear" w:color="auto" w:fill="D9E2F3"/>
          </w:tcPr>
          <w:p>
            <w:pPr>
              <w:spacing w:after="0"/>
            </w:pPr>
            <w:r>
              <w:rPr>
                <w:b/>
                <w:sz w:val="17"/>
              </w:rPr>
              <w:t>Training done (Y/N)</w:t>
            </w:r>
          </w:p>
        </w:tc>
        <w:tc>
          <w:tcPr>
            <w:tcW w:type="dxa" w:w="1382"/>
            <w:shd w:val="clear" w:color="auto" w:fill="D9E2F3"/>
          </w:tcPr>
          <w:p>
            <w:pPr>
              <w:spacing w:after="0"/>
            </w:pPr>
            <w:r>
              <w:rPr>
                <w:b/>
                <w:sz w:val="17"/>
              </w:rPr>
              <w:t>Date granted and approver</w:t>
            </w:r>
          </w:p>
        </w:tc>
        <w:tc>
          <w:tcPr>
            <w:tcW w:type="dxa" w:w="1382"/>
            <w:shd w:val="clear" w:color="auto" w:fill="D9E2F3"/>
          </w:tcPr>
          <w:p>
            <w:pPr>
              <w:spacing w:after="0"/>
            </w:pPr>
            <w:r>
              <w:rPr>
                <w:b/>
                <w:sz w:val="17"/>
              </w:rPr>
              <w:t>Removal or change requested (date)</w:t>
            </w:r>
          </w:p>
        </w:tc>
        <w:tc>
          <w:tcPr>
            <w:tcW w:type="dxa" w:w="1382"/>
            <w:shd w:val="clear" w:color="auto" w:fill="D9E2F3"/>
          </w:tcPr>
          <w:p>
            <w:pPr>
              <w:spacing w:after="0"/>
            </w:pPr>
            <w:r>
              <w:rPr>
                <w:b/>
                <w:sz w:val="17"/>
              </w:rPr>
              <w:t>Removal confirmed (date and by)</w:t>
            </w: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2764"/>
          </w:tcPr>
          <w:p>
            <w:pPr>
              <w:spacing w:after="0"/>
            </w:pPr>
          </w:p>
        </w:tc>
        <w:tc>
          <w:tcPr>
            <w:tcW w:type="dxa" w:w="138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1382"/>
          </w:tcPr>
          <w:p>
            <w:pPr>
              <w:spacing w:after="0"/>
            </w:pPr>
          </w:p>
        </w:tc>
      </w:tr>
    </w:tbl>
    <w:p>
      <w:pPr>
        <w:spacing w:after="40"/>
      </w:pPr>
    </w:p>
    <w:p>
      <w:pPr>
        <w:pStyle w:val="Heading2"/>
      </w:pPr>
      <w:r>
        <w:t>Part 4. Monitor, auditor and FDA accounts</w:t>
      </w:r>
    </w:p>
    <w:tbl>
      <w:tblPr>
        <w:tblStyle w:val="TableGrid"/>
        <w:tblW w:type="auto" w:w="0"/>
        <w:jc w:val="left"/>
        <w:tblLayout w:type="fixed"/>
        <w:tblLook w:firstColumn="1" w:firstRow="1" w:lastColumn="0" w:lastRow="0" w:noHBand="0" w:noVBand="1" w:val="04A0"/>
      </w:tblPr>
      <w:tblGrid>
        <w:gridCol w:w="2513"/>
        <w:gridCol w:w="1256"/>
        <w:gridCol w:w="1256"/>
        <w:gridCol w:w="2513"/>
        <w:gridCol w:w="1256"/>
        <w:gridCol w:w="1256"/>
        <w:gridCol w:w="1256"/>
        <w:gridCol w:w="1256"/>
        <w:gridCol w:w="1256"/>
      </w:tblGrid>
      <w:tr>
        <w:trPr>
          <w:tblHeader w:val="true"/>
        </w:trPr>
        <w:tc>
          <w:tcPr>
            <w:tcW w:type="dxa" w:w="2513"/>
            <w:shd w:val="clear" w:color="auto" w:fill="D9E2F3"/>
          </w:tcPr>
          <w:p>
            <w:pPr>
              <w:spacing w:after="0"/>
            </w:pPr>
            <w:r>
              <w:rPr>
                <w:b/>
                <w:sz w:val="17"/>
              </w:rPr>
              <w:t>Name, organization (sponsor, CRO, auditor, FDA)</w:t>
            </w:r>
          </w:p>
        </w:tc>
        <w:tc>
          <w:tcPr>
            <w:tcW w:type="dxa" w:w="1256"/>
            <w:shd w:val="clear" w:color="auto" w:fill="D9E2F3"/>
          </w:tcPr>
          <w:p>
            <w:pPr>
              <w:spacing w:after="0"/>
            </w:pPr>
            <w:r>
              <w:rPr>
                <w:b/>
                <w:sz w:val="17"/>
              </w:rPr>
              <w:t>Study</w:t>
            </w:r>
          </w:p>
        </w:tc>
        <w:tc>
          <w:tcPr>
            <w:tcW w:type="dxa" w:w="1256"/>
            <w:shd w:val="clear" w:color="auto" w:fill="D9E2F3"/>
          </w:tcPr>
          <w:p>
            <w:pPr>
              <w:spacing w:after="0"/>
            </w:pPr>
            <w:r>
              <w:rPr>
                <w:b/>
                <w:sz w:val="17"/>
              </w:rPr>
              <w:t>System</w:t>
            </w:r>
          </w:p>
        </w:tc>
        <w:tc>
          <w:tcPr>
            <w:tcW w:type="dxa" w:w="2513"/>
            <w:shd w:val="clear" w:color="auto" w:fill="D9E2F3"/>
          </w:tcPr>
          <w:p>
            <w:pPr>
              <w:spacing w:after="0"/>
            </w:pPr>
            <w:r>
              <w:rPr>
                <w:b/>
                <w:sz w:val="17"/>
              </w:rPr>
              <w:t>Restriction (read-only, study participants only)</w:t>
            </w:r>
          </w:p>
        </w:tc>
        <w:tc>
          <w:tcPr>
            <w:tcW w:type="dxa" w:w="1256"/>
            <w:shd w:val="clear" w:color="auto" w:fill="D9E2F3"/>
          </w:tcPr>
          <w:p>
            <w:pPr>
              <w:spacing w:after="0"/>
            </w:pPr>
            <w:r>
              <w:rPr>
                <w:b/>
                <w:sz w:val="17"/>
              </w:rPr>
              <w:t>Quality Lead approval (date)</w:t>
            </w:r>
          </w:p>
        </w:tc>
        <w:tc>
          <w:tcPr>
            <w:tcW w:type="dxa" w:w="1256"/>
            <w:shd w:val="clear" w:color="auto" w:fill="D9E2F3"/>
          </w:tcPr>
          <w:p>
            <w:pPr>
              <w:spacing w:after="0"/>
            </w:pPr>
            <w:r>
              <w:rPr>
                <w:b/>
                <w:sz w:val="17"/>
              </w:rPr>
              <w:t>Access agreement on file (Y/N; not for FDA)</w:t>
            </w:r>
          </w:p>
        </w:tc>
        <w:tc>
          <w:tcPr>
            <w:tcW w:type="dxa" w:w="1256"/>
            <w:shd w:val="clear" w:color="auto" w:fill="D9E2F3"/>
          </w:tcPr>
          <w:p>
            <w:pPr>
              <w:spacing w:after="0"/>
            </w:pPr>
            <w:r>
              <w:rPr>
                <w:b/>
                <w:sz w:val="17"/>
              </w:rPr>
              <w:t>Granted (date and by)</w:t>
            </w:r>
          </w:p>
        </w:tc>
        <w:tc>
          <w:tcPr>
            <w:tcW w:type="dxa" w:w="1256"/>
            <w:shd w:val="clear" w:color="auto" w:fill="D9E2F3"/>
          </w:tcPr>
          <w:p>
            <w:pPr>
              <w:spacing w:after="0"/>
            </w:pPr>
            <w:r>
              <w:rPr>
                <w:b/>
                <w:sz w:val="17"/>
              </w:rPr>
              <w:t>Expiry date</w:t>
            </w:r>
          </w:p>
        </w:tc>
        <w:tc>
          <w:tcPr>
            <w:tcW w:type="dxa" w:w="1256"/>
            <w:shd w:val="clear" w:color="auto" w:fill="D9E2F3"/>
          </w:tcPr>
          <w:p>
            <w:pPr>
              <w:spacing w:after="0"/>
            </w:pPr>
            <w:r>
              <w:rPr>
                <w:b/>
                <w:sz w:val="17"/>
              </w:rPr>
              <w:t>Removed (date and by)</w:t>
            </w: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2513"/>
          </w:tcPr>
          <w:p>
            <w:pPr>
              <w:spacing w:after="0"/>
            </w:pPr>
          </w:p>
        </w:tc>
        <w:tc>
          <w:tcPr>
            <w:tcW w:type="dxa" w:w="1256"/>
          </w:tcPr>
          <w:p>
            <w:pPr>
              <w:spacing w:after="0"/>
            </w:pPr>
          </w:p>
        </w:tc>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bl>
    <w:p>
      <w:pPr>
        <w:spacing w:after="40"/>
      </w:pPr>
    </w:p>
    <w:p>
      <w:pPr>
        <w:pStyle w:val="Heading2"/>
      </w:pPr>
      <w:r>
        <w:t>Part 5. Access and audit trail reviews</w:t>
      </w:r>
    </w:p>
    <w:tbl>
      <w:tblPr>
        <w:tblStyle w:val="TableGrid"/>
        <w:tblW w:type="auto" w:w="0"/>
        <w:jc w:val="left"/>
        <w:tblLayout w:type="fixed"/>
        <w:tblLook w:firstColumn="1" w:firstRow="1" w:lastColumn="0" w:lastRow="0" w:noHBand="0" w:noVBand="1" w:val="04A0"/>
      </w:tblPr>
      <w:tblGrid>
        <w:gridCol w:w="1256"/>
        <w:gridCol w:w="1256"/>
        <w:gridCol w:w="2513"/>
        <w:gridCol w:w="2513"/>
        <w:gridCol w:w="2513"/>
        <w:gridCol w:w="2513"/>
        <w:gridCol w:w="1256"/>
      </w:tblGrid>
      <w:tr>
        <w:trPr>
          <w:tblHeader w:val="true"/>
        </w:trPr>
        <w:tc>
          <w:tcPr>
            <w:tcW w:type="dxa" w:w="1256"/>
            <w:shd w:val="clear" w:color="auto" w:fill="D9E2F3"/>
          </w:tcPr>
          <w:p>
            <w:pPr>
              <w:spacing w:after="0"/>
            </w:pPr>
            <w:r>
              <w:rPr>
                <w:b/>
                <w:sz w:val="17"/>
              </w:rPr>
              <w:t>Review date</w:t>
            </w:r>
          </w:p>
        </w:tc>
        <w:tc>
          <w:tcPr>
            <w:tcW w:type="dxa" w:w="1256"/>
            <w:shd w:val="clear" w:color="auto" w:fill="D9E2F3"/>
          </w:tcPr>
          <w:p>
            <w:pPr>
              <w:spacing w:after="0"/>
            </w:pPr>
            <w:r>
              <w:rPr>
                <w:b/>
                <w:sz w:val="17"/>
              </w:rPr>
              <w:t>Reason (annual, departure)</w:t>
            </w:r>
          </w:p>
        </w:tc>
        <w:tc>
          <w:tcPr>
            <w:tcW w:type="dxa" w:w="2513"/>
            <w:shd w:val="clear" w:color="auto" w:fill="D9E2F3"/>
          </w:tcPr>
          <w:p>
            <w:pPr>
              <w:spacing w:after="0"/>
            </w:pPr>
            <w:r>
              <w:rPr>
                <w:b/>
                <w:sz w:val="17"/>
              </w:rPr>
              <w:t>System</w:t>
            </w:r>
          </w:p>
        </w:tc>
        <w:tc>
          <w:tcPr>
            <w:tcW w:type="dxa" w:w="2513"/>
            <w:shd w:val="clear" w:color="auto" w:fill="D9E2F3"/>
          </w:tcPr>
          <w:p>
            <w:pPr>
              <w:spacing w:after="0"/>
            </w:pPr>
            <w:r>
              <w:rPr>
                <w:b/>
                <w:sz w:val="17"/>
              </w:rPr>
              <w:t>Users checked against staff and delegation logs (Y/N)</w:t>
            </w:r>
          </w:p>
        </w:tc>
        <w:tc>
          <w:tcPr>
            <w:tcW w:type="dxa" w:w="2513"/>
            <w:shd w:val="clear" w:color="auto" w:fill="D9E2F3"/>
          </w:tcPr>
          <w:p>
            <w:pPr>
              <w:spacing w:after="0"/>
            </w:pPr>
            <w:r>
              <w:rPr>
                <w:b/>
                <w:sz w:val="17"/>
              </w:rPr>
              <w:t>Accounts disabled</w:t>
            </w:r>
          </w:p>
        </w:tc>
        <w:tc>
          <w:tcPr>
            <w:tcW w:type="dxa" w:w="2513"/>
            <w:shd w:val="clear" w:color="auto" w:fill="D9E2F3"/>
          </w:tcPr>
          <w:p>
            <w:pPr>
              <w:spacing w:after="0"/>
            </w:pPr>
            <w:r>
              <w:rPr>
                <w:b/>
                <w:sz w:val="17"/>
              </w:rPr>
              <w:t>Audit trail sample result (annual)</w:t>
            </w:r>
          </w:p>
        </w:tc>
        <w:tc>
          <w:tcPr>
            <w:tcW w:type="dxa" w:w="1256"/>
            <w:shd w:val="clear" w:color="auto" w:fill="D9E2F3"/>
          </w:tcPr>
          <w:p>
            <w:pPr>
              <w:spacing w:after="0"/>
            </w:pPr>
            <w:r>
              <w:rPr>
                <w:b/>
                <w:sz w:val="17"/>
              </w:rPr>
              <w:t>Reviewer</w:t>
            </w:r>
          </w:p>
        </w:tc>
      </w:tr>
      <w:tr>
        <w:trPr>
          <w:cantSplit w:val="true"/>
          <w:trHeight w:val="461"/>
        </w:trPr>
        <w:tc>
          <w:tcPr>
            <w:tcW w:type="dxa" w:w="1256"/>
          </w:tcPr>
          <w:p>
            <w:pPr>
              <w:spacing w:after="0"/>
            </w:pPr>
          </w:p>
        </w:tc>
        <w:tc>
          <w:tcPr>
            <w:tcW w:type="dxa" w:w="1256"/>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2513"/>
          </w:tcPr>
          <w:p>
            <w:pPr>
              <w:spacing w:after="0"/>
            </w:pPr>
          </w:p>
        </w:tc>
        <w:tc>
          <w:tcPr>
            <w:tcW w:type="dxa" w:w="1256"/>
          </w:tcPr>
          <w:p>
            <w:pPr>
              <w:spacing w:after="0"/>
            </w:pPr>
          </w:p>
        </w:tc>
      </w:tr>
    </w:tbl>
    <w:p>
      <w:pPr>
        <w:spacing w:after="40"/>
      </w:pPr>
    </w:p>
    <w:p>
      <w:pPr>
        <w:pStyle w:val="Heading2"/>
      </w:pPr>
      <w:r>
        <w:t>Part 6. System and security incidents</w:t>
      </w:r>
    </w:p>
    <w:tbl>
      <w:tblPr>
        <w:tblStyle w:val="TableGrid"/>
        <w:tblW w:type="auto" w:w="0"/>
        <w:jc w:val="left"/>
        <w:tblLayout w:type="fixed"/>
        <w:tblLook w:firstColumn="1" w:firstRow="1" w:lastColumn="0" w:lastRow="0" w:noHBand="0" w:noVBand="1" w:val="04A0"/>
      </w:tblPr>
      <w:tblGrid>
        <w:gridCol w:w="1382"/>
        <w:gridCol w:w="2764"/>
        <w:gridCol w:w="5529"/>
        <w:gridCol w:w="1382"/>
        <w:gridCol w:w="1382"/>
        <w:gridCol w:w="1382"/>
      </w:tblGrid>
      <w:tr>
        <w:trPr>
          <w:tblHeader w:val="true"/>
        </w:trPr>
        <w:tc>
          <w:tcPr>
            <w:tcW w:type="dxa" w:w="1382"/>
            <w:shd w:val="clear" w:color="auto" w:fill="D9E2F3"/>
          </w:tcPr>
          <w:p>
            <w:pPr>
              <w:keepNext/>
              <w:spacing w:after="0"/>
            </w:pPr>
            <w:r>
              <w:rPr>
                <w:b/>
                <w:sz w:val="17"/>
              </w:rPr>
              <w:t>Date</w:t>
            </w:r>
          </w:p>
        </w:tc>
        <w:tc>
          <w:tcPr>
            <w:tcW w:type="dxa" w:w="2764"/>
            <w:shd w:val="clear" w:color="auto" w:fill="D9E2F3"/>
          </w:tcPr>
          <w:p>
            <w:pPr>
              <w:keepNext/>
              <w:spacing w:after="0"/>
            </w:pPr>
            <w:r>
              <w:rPr>
                <w:b/>
                <w:sz w:val="17"/>
              </w:rPr>
              <w:t>System</w:t>
            </w:r>
          </w:p>
        </w:tc>
        <w:tc>
          <w:tcPr>
            <w:tcW w:type="dxa" w:w="5529"/>
            <w:shd w:val="clear" w:color="auto" w:fill="D9E2F3"/>
          </w:tcPr>
          <w:p>
            <w:pPr>
              <w:keepNext/>
              <w:spacing w:after="0"/>
            </w:pPr>
            <w:r>
              <w:rPr>
                <w:b/>
                <w:sz w:val="17"/>
              </w:rPr>
              <w:t>Incident and impact on trial data or security</w:t>
            </w:r>
          </w:p>
        </w:tc>
        <w:tc>
          <w:tcPr>
            <w:tcW w:type="dxa" w:w="1382"/>
            <w:shd w:val="clear" w:color="auto" w:fill="D9E2F3"/>
          </w:tcPr>
          <w:p>
            <w:pPr>
              <w:keepNext/>
              <w:spacing w:after="0"/>
            </w:pPr>
            <w:r>
              <w:rPr>
                <w:b/>
                <w:sz w:val="17"/>
              </w:rPr>
              <w:t>Help desk ticket</w:t>
            </w:r>
          </w:p>
        </w:tc>
        <w:tc>
          <w:tcPr>
            <w:tcW w:type="dxa" w:w="1382"/>
            <w:shd w:val="clear" w:color="auto" w:fill="D9E2F3"/>
          </w:tcPr>
          <w:p>
            <w:pPr>
              <w:keepNext/>
              <w:spacing w:after="0"/>
            </w:pPr>
            <w:r>
              <w:rPr>
                <w:b/>
                <w:sz w:val="17"/>
              </w:rPr>
              <w:t>Sponsor or IRB notified (date)</w:t>
            </w:r>
          </w:p>
        </w:tc>
        <w:tc>
          <w:tcPr>
            <w:tcW w:type="dxa" w:w="1382"/>
            <w:shd w:val="clear" w:color="auto" w:fill="D9E2F3"/>
          </w:tcPr>
          <w:p>
            <w:pPr>
              <w:keepNext/>
              <w:spacing w:after="0"/>
            </w:pPr>
            <w:r>
              <w:rPr>
                <w:b/>
                <w:sz w:val="17"/>
              </w:rPr>
              <w:t>F-400-01 or CAPA number</w:t>
            </w:r>
          </w:p>
        </w:tc>
      </w:tr>
      <w:tr>
        <w:trPr>
          <w:cantSplit w:val="true"/>
          <w:trHeight w:val="461"/>
        </w:trPr>
        <w:tc>
          <w:tcPr>
            <w:tcW w:type="dxa" w:w="1382"/>
          </w:tcPr>
          <w:p>
            <w:pPr>
              <w:keepNext/>
              <w:spacing w:after="0"/>
            </w:pPr>
          </w:p>
        </w:tc>
        <w:tc>
          <w:tcPr>
            <w:tcW w:type="dxa" w:w="2764"/>
          </w:tcPr>
          <w:p>
            <w:pPr>
              <w:keepNext/>
              <w:spacing w:after="0"/>
            </w:pPr>
          </w:p>
        </w:tc>
        <w:tc>
          <w:tcPr>
            <w:tcW w:type="dxa" w:w="5529"/>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5529"/>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5529"/>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1382"/>
          </w:tcPr>
          <w:p>
            <w:pPr>
              <w:keepNext/>
              <w:spacing w:after="0"/>
            </w:pPr>
          </w:p>
        </w:tc>
        <w:tc>
          <w:tcPr>
            <w:tcW w:type="dxa" w:w="2764"/>
          </w:tcPr>
          <w:p>
            <w:pPr>
              <w:keepNext/>
              <w:spacing w:after="0"/>
            </w:pPr>
          </w:p>
        </w:tc>
        <w:tc>
          <w:tcPr>
            <w:tcW w:type="dxa" w:w="5529"/>
          </w:tcPr>
          <w:p>
            <w:pPr>
              <w:keepNext/>
              <w:spacing w:after="0"/>
            </w:pPr>
          </w:p>
        </w:tc>
        <w:tc>
          <w:tcPr>
            <w:tcW w:type="dxa" w:w="1382"/>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1382"/>
          </w:tcPr>
          <w:p>
            <w:pPr>
              <w:spacing w:after="0"/>
            </w:pPr>
          </w:p>
        </w:tc>
        <w:tc>
          <w:tcPr>
            <w:tcW w:type="dxa" w:w="2764"/>
          </w:tcPr>
          <w:p>
            <w:pPr>
              <w:spacing w:after="0"/>
            </w:pPr>
          </w:p>
        </w:tc>
        <w:tc>
          <w:tcPr>
            <w:tcW w:type="dxa" w:w="5529"/>
          </w:tcPr>
          <w:p>
            <w:pPr>
              <w:spacing w:after="0"/>
            </w:pPr>
          </w:p>
        </w:tc>
        <w:tc>
          <w:tcPr>
            <w:tcW w:type="dxa" w:w="1382"/>
          </w:tcPr>
          <w:p>
            <w:pPr>
              <w:spacing w:after="0"/>
            </w:pPr>
          </w:p>
        </w:tc>
        <w:tc>
          <w:tcPr>
            <w:tcW w:type="dxa" w:w="1382"/>
          </w:tcPr>
          <w:p>
            <w:pPr>
              <w:spacing w:after="0"/>
            </w:pPr>
          </w:p>
        </w:tc>
        <w:tc>
          <w:tcPr>
            <w:tcW w:type="dxa" w:w="1382"/>
          </w:tcPr>
          <w:p>
            <w:pPr>
              <w:spacing w:after="0"/>
            </w:pPr>
          </w:p>
        </w:tc>
      </w:tr>
    </w:tbl>
    <w:p>
      <w:pPr>
        <w:spacing w:after="40"/>
      </w:pPr>
    </w:p>
    <w:p>
      <w:pPr>
        <w:pStyle w:val="Heading2"/>
      </w:pPr>
      <w:r>
        <w:t>Part 7. Approved AI tools (SOP-12 5.8.3)</w:t>
      </w:r>
    </w:p>
    <w:tbl>
      <w:tblPr>
        <w:tblStyle w:val="TableGrid"/>
        <w:tblW w:type="auto" w:w="0"/>
        <w:jc w:val="left"/>
        <w:tblLayout w:type="fixed"/>
        <w:tblLook w:firstColumn="1" w:firstRow="1" w:lastColumn="0" w:lastRow="0" w:noHBand="0" w:noVBand="1" w:val="04A0"/>
      </w:tblPr>
      <w:tblGrid>
        <w:gridCol w:w="2764"/>
        <w:gridCol w:w="4147"/>
        <w:gridCol w:w="4147"/>
        <w:gridCol w:w="1382"/>
        <w:gridCol w:w="1382"/>
      </w:tblGrid>
      <w:tr>
        <w:trPr>
          <w:tblHeader w:val="true"/>
        </w:trPr>
        <w:tc>
          <w:tcPr>
            <w:tcW w:type="dxa" w:w="2764"/>
            <w:shd w:val="clear" w:color="auto" w:fill="D9E2F3"/>
          </w:tcPr>
          <w:p>
            <w:pPr>
              <w:keepNext/>
              <w:spacing w:after="0"/>
            </w:pPr>
            <w:r>
              <w:rPr>
                <w:b/>
                <w:sz w:val="17"/>
              </w:rPr>
              <w:t>AI tool</w:t>
            </w:r>
          </w:p>
        </w:tc>
        <w:tc>
          <w:tcPr>
            <w:tcW w:type="dxa" w:w="4147"/>
            <w:shd w:val="clear" w:color="auto" w:fill="D9E2F3"/>
          </w:tcPr>
          <w:p>
            <w:pPr>
              <w:keepNext/>
              <w:spacing w:after="0"/>
            </w:pPr>
            <w:r>
              <w:rPr>
                <w:b/>
                <w:sz w:val="17"/>
              </w:rPr>
              <w:t>Approved uses</w:t>
            </w:r>
          </w:p>
        </w:tc>
        <w:tc>
          <w:tcPr>
            <w:tcW w:type="dxa" w:w="4147"/>
            <w:shd w:val="clear" w:color="auto" w:fill="D9E2F3"/>
          </w:tcPr>
          <w:p>
            <w:pPr>
              <w:keepNext/>
              <w:spacing w:after="0"/>
            </w:pPr>
            <w:r>
              <w:rPr>
                <w:b/>
                <w:sz w:val="17"/>
              </w:rPr>
              <w:t>Data types allowed (none, de-identified, PHI with BAA, sponsor confidential with permission)</w:t>
            </w:r>
          </w:p>
        </w:tc>
        <w:tc>
          <w:tcPr>
            <w:tcW w:type="dxa" w:w="1382"/>
            <w:shd w:val="clear" w:color="auto" w:fill="D9E2F3"/>
          </w:tcPr>
          <w:p>
            <w:pPr>
              <w:keepNext/>
              <w:spacing w:after="0"/>
            </w:pPr>
            <w:r>
              <w:rPr>
                <w:b/>
                <w:sz w:val="17"/>
              </w:rPr>
              <w:t>Approved by Site Director (date)</w:t>
            </w:r>
          </w:p>
        </w:tc>
        <w:tc>
          <w:tcPr>
            <w:tcW w:type="dxa" w:w="1382"/>
            <w:shd w:val="clear" w:color="auto" w:fill="D9E2F3"/>
          </w:tcPr>
          <w:p>
            <w:pPr>
              <w:keepNext/>
              <w:spacing w:after="0"/>
            </w:pPr>
            <w:r>
              <w:rPr>
                <w:b/>
                <w:sz w:val="17"/>
              </w:rPr>
              <w:t>Withdrawn (date)</w:t>
            </w:r>
          </w:p>
        </w:tc>
      </w:tr>
      <w:tr>
        <w:trPr>
          <w:cantSplit w:val="true"/>
          <w:trHeight w:val="461"/>
        </w:trPr>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2764"/>
          </w:tcPr>
          <w:p>
            <w:pPr>
              <w:keepNext/>
              <w:spacing w:after="0"/>
            </w:pPr>
          </w:p>
        </w:tc>
        <w:tc>
          <w:tcPr>
            <w:tcW w:type="dxa" w:w="4147"/>
          </w:tcPr>
          <w:p>
            <w:pPr>
              <w:keepNext/>
              <w:spacing w:after="0"/>
            </w:pPr>
          </w:p>
        </w:tc>
        <w:tc>
          <w:tcPr>
            <w:tcW w:type="dxa" w:w="4147"/>
          </w:tcPr>
          <w:p>
            <w:pPr>
              <w:keepNext/>
              <w:spacing w:after="0"/>
            </w:pPr>
          </w:p>
        </w:tc>
        <w:tc>
          <w:tcPr>
            <w:tcW w:type="dxa" w:w="1382"/>
          </w:tcPr>
          <w:p>
            <w:pPr>
              <w:keepNext/>
              <w:spacing w:after="0"/>
            </w:pPr>
          </w:p>
        </w:tc>
        <w:tc>
          <w:tcPr>
            <w:tcW w:type="dxa" w:w="1382"/>
          </w:tcPr>
          <w:p>
            <w:pPr>
              <w:keepNext/>
              <w:spacing w:after="0"/>
            </w:pPr>
          </w:p>
        </w:tc>
      </w:tr>
      <w:tr>
        <w:trPr>
          <w:cantSplit w:val="true"/>
          <w:trHeight w:val="461"/>
        </w:trPr>
        <w:tc>
          <w:tcPr>
            <w:tcW w:type="dxa" w:w="2764"/>
          </w:tcPr>
          <w:p>
            <w:pPr>
              <w:spacing w:after="0"/>
            </w:pPr>
          </w:p>
        </w:tc>
        <w:tc>
          <w:tcPr>
            <w:tcW w:type="dxa" w:w="4147"/>
          </w:tcPr>
          <w:p>
            <w:pPr>
              <w:spacing w:after="0"/>
            </w:pPr>
          </w:p>
        </w:tc>
        <w:tc>
          <w:tcPr>
            <w:tcW w:type="dxa" w:w="4147"/>
          </w:tcPr>
          <w:p>
            <w:pPr>
              <w:spacing w:after="0"/>
            </w:pPr>
          </w:p>
        </w:tc>
        <w:tc>
          <w:tcPr>
            <w:tcW w:type="dxa" w:w="1382"/>
          </w:tcPr>
          <w:p>
            <w:pPr>
              <w:spacing w:after="0"/>
            </w:pPr>
          </w:p>
        </w:tc>
        <w:tc>
          <w:tcPr>
            <w:tcW w:type="dxa" w:w="1382"/>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F-401-01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F-401-01 Computerized System Inventory and Access Log</w:t>
          </w:r>
        </w:p>
      </w:tc>
      <w:tc>
        <w:tcPr>
          <w:tcW w:type="dxa" w:w="4147"/>
        </w:tcPr>
        <w:p>
          <w:pPr>
            <w:jc w:val="right"/>
          </w:pPr>
          <w:r>
            <w:rPr>
              <w:b w:val="0"/>
              <w:color w:val="404040"/>
              <w:sz w:val="17"/>
            </w:rPr>
            <w:t>Ref: SOP-12</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F-401-01 Computerized System Inventory and Access Log</dc:title>
  <dc:subject>Form</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