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Privacy Incident Report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a possible or confirmed privacy or security incident involving participant information, the containment steps, the breach risk assessment and every notification made.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 xml:space="preserve">Any staff member who suspects an incident reports it to the Privacy Officer immediately and no later than </w:t>
      </w:r>
      <w:r>
        <w:rPr>
          <w:b w:val="0"/>
          <w:sz w:val="18"/>
          <w:highlight w:val="green"/>
        </w:rPr>
        <w:t>[DEFAULT: the same business day]</w:t>
      </w:r>
      <w:r>
        <w:rPr>
          <w:b w:val="0"/>
          <w:sz w:val="18"/>
        </w:rPr>
        <w:t>. Security incidents also go to the Security Officer (SOP-12 5.5.1, 5.8.2).</w:t>
      </w:r>
    </w:p>
    <w:p>
      <w:pPr>
        <w:pStyle w:val="ListBullet"/>
        <w:spacing w:after="0"/>
      </w:pPr>
      <w:r>
        <w:rPr>
          <w:b w:val="0"/>
          <w:sz w:val="18"/>
        </w:rPr>
        <w:t>The Privacy Officer opens this report, contains the incident first with times recorded, and documents the breach risk assessment. The Site Director reviews it, with legal advice where a breach is possible (SOP-12 5.5.2).</w:t>
      </w:r>
    </w:p>
    <w:p>
      <w:pPr>
        <w:pStyle w:val="ListBullet"/>
        <w:spacing w:after="0"/>
      </w:pPr>
      <w:r>
        <w:rPr>
          <w:b w:val="0"/>
          <w:sz w:val="18"/>
        </w:rPr>
        <w:t>Covered entity: notify individuals without unreasonable delay and no later than 60 calendar days after discovery (SOP-12 5.5.3). Not a covered entity: follow state law and the CTA (SOP-12 5.1.2). Check Appendix A for every state where affected individuals live (SOP-12 5.5.4).</w:t>
      </w:r>
    </w:p>
    <w:p>
      <w:pPr>
        <w:pStyle w:val="ListBullet"/>
        <w:spacing w:after="0"/>
      </w:pPr>
      <w:r>
        <w:rPr>
          <w:b w:val="0"/>
          <w:sz w:val="18"/>
        </w:rPr>
        <w:t>Keep each report in the privacy incident file. Systemic causes go to CAPA (SOP-08). Incidents are reviewed at the quarterly quality review (SOP-12 5.5.4; SOP-14 5.6.1).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Incident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and time discovered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Reported by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and time reported to Privacy Officer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Incident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of incident (or period)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of discovery (first day known to any workforce member other than the person who caused it)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Location or system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Studies involved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Number of individuals affected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States of residence of those affected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Information involved (names, dates, diagnoses, SSN, other)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 2 (substance use disorder) records involved (Y/N)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role for this information (covered entity, business associate, not a covered entity)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Security Officer involved (Y/N)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Type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336"/>
        <w:gridCol w:w="720"/>
        <w:gridCol w:w="2592"/>
      </w:tblGrid>
      <w:tr>
        <w:trPr>
          <w:tblHeader w:val="true"/>
        </w:trPr>
        <w:tc>
          <w:tcPr>
            <w:tcW w:type="dxa" w:w="633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spacing w:after="0"/>
            </w:pPr>
            <w:r>
              <w:rPr>
                <w:b w:val="0"/>
                <w:sz w:val="17"/>
              </w:rPr>
              <w:t>Email or fax sent to the wrong recipient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spacing w:after="0"/>
            </w:pPr>
            <w:r>
              <w:rPr>
                <w:b w:val="0"/>
                <w:sz w:val="17"/>
              </w:rPr>
              <w:t>Lost or stolen device or paper records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spacing w:after="0"/>
            </w:pPr>
            <w:r>
              <w:rPr>
                <w:b w:val="0"/>
                <w:sz w:val="17"/>
              </w:rPr>
              <w:t>Unauthorized access or use by staff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spacing w:after="0"/>
            </w:pPr>
            <w:r>
              <w:rPr>
                <w:b w:val="0"/>
                <w:sz w:val="17"/>
              </w:rPr>
              <w:t>Phishing, malware or other cyber incident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spacing w:after="0"/>
            </w:pPr>
            <w:r>
              <w:rPr>
                <w:b w:val="0"/>
                <w:sz w:val="17"/>
              </w:rPr>
              <w:t>Unredacted copy sent to a sponsor, monitor or auditor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spacing w:after="0"/>
            </w:pPr>
            <w:r>
              <w:rPr>
                <w:b w:val="0"/>
                <w:sz w:val="17"/>
              </w:rPr>
              <w:t>Improper disposal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spacing w:after="0"/>
            </w:pPr>
            <w:r>
              <w:rPr>
                <w:b w:val="0"/>
                <w:sz w:val="17"/>
              </w:rPr>
              <w:t>Disclosure beyond what the participant authorized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spacing w:after="0"/>
            </w:pPr>
            <w:r>
              <w:rPr>
                <w:b w:val="0"/>
                <w:sz w:val="17"/>
              </w:rPr>
              <w:t>Unauthorized person present at a telehealth visit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spacing w:after="0"/>
            </w:pPr>
            <w:r>
              <w:rPr>
                <w:b w:val="0"/>
                <w:sz w:val="17"/>
              </w:rPr>
              <w:t>Privacy complaint from a participant or other person (record disposition below; SOP-12 5.5.7)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spacing w:after="0"/>
            </w:pPr>
            <w:r>
              <w:rPr>
                <w:b w:val="0"/>
                <w:sz w:val="17"/>
              </w:rPr>
              <w:t>Other (describe below)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Description</w:t>
      </w:r>
    </w:p>
    <w:p>
      <w:pPr>
        <w:spacing w:after="40"/>
      </w:pPr>
      <w:r>
        <w:rPr>
          <w:b w:val="0"/>
          <w:sz w:val="18"/>
        </w:rPr>
        <w:t>What happened: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Containment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9"/>
        <w:gridCol w:w="5788"/>
        <w:gridCol w:w="1929"/>
      </w:tblGrid>
      <w:tr>
        <w:trPr>
          <w:tblHeader w:val="true"/>
        </w:trPr>
        <w:tc>
          <w:tcPr>
            <w:tcW w:type="dxa" w:w="1929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and time</w:t>
            </w:r>
          </w:p>
        </w:tc>
        <w:tc>
          <w:tcPr>
            <w:tcW w:type="dxa" w:w="578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Containment step (for example email recalled, recipient deletion confirmed in writing, account disabled, device wiped)</w:t>
            </w:r>
          </w:p>
        </w:tc>
        <w:tc>
          <w:tcPr>
            <w:tcW w:type="dxa" w:w="1929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By</w:t>
            </w:r>
          </w:p>
        </w:tc>
      </w:tr>
      <w:tr>
        <w:trPr>
          <w:cantSplit w:val="true"/>
          <w:trHeight w:val="461"/>
        </w:trPr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5788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5788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5788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5788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5788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Breach risk assessment (45 CFR 164.402)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 regulatory exception applies (record which below)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Information was encrypted or otherwise unusable to the recipient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Factor 1 assessed: nature and extent of the PHI, including identifiers and likelihood of re-identification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Factor 2 assessed: the unauthorized person who used or received the PHI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Factor 3 assessed: whether the PHI was actually acquired or viewed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Factor 4 assessed: the extent to which the risk has been mitigated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Conclusion documented: low probability of compromise (no notification required) or breach (notify)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  <w:sz w:val="18"/>
        </w:rPr>
        <w:t>Rationale and supporting evidence for the conclusion: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Review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Reviewed by Site Director (date)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Legal advice obtained (Y/N, date)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Individual notice due date (60 calendar days after discovery, or state deadline if shorter)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Notifications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618"/>
        <w:gridCol w:w="1206"/>
        <w:gridCol w:w="1206"/>
        <w:gridCol w:w="1206"/>
        <w:gridCol w:w="1206"/>
        <w:gridCol w:w="1206"/>
      </w:tblGrid>
      <w:tr>
        <w:trPr>
          <w:tblHeader w:val="true"/>
        </w:trPr>
        <w:tc>
          <w:tcPr>
            <w:tcW w:type="dxa" w:w="361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Notification</w:t>
            </w:r>
          </w:p>
        </w:tc>
        <w:tc>
          <w:tcPr>
            <w:tcW w:type="dxa" w:w="120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Required (Y/N)</w:t>
            </w:r>
          </w:p>
        </w:tc>
        <w:tc>
          <w:tcPr>
            <w:tcW w:type="dxa" w:w="120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Due date</w:t>
            </w:r>
          </w:p>
        </w:tc>
        <w:tc>
          <w:tcPr>
            <w:tcW w:type="dxa" w:w="120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sent</w:t>
            </w:r>
          </w:p>
        </w:tc>
        <w:tc>
          <w:tcPr>
            <w:tcW w:type="dxa" w:w="120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Method</w:t>
            </w:r>
          </w:p>
        </w:tc>
        <w:tc>
          <w:tcPr>
            <w:tcW w:type="dxa" w:w="120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By</w:t>
            </w:r>
          </w:p>
        </w:tc>
      </w:tr>
      <w:tr>
        <w:trPr>
          <w:cantSplit w:val="true"/>
          <w:trHeight w:val="461"/>
        </w:trPr>
        <w:tc>
          <w:tcPr>
            <w:tcW w:type="dxa" w:w="3618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618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618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618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618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618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618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  <w:sz w:val="18"/>
        </w:rPr>
        <w:t>Rows to consider: individuals; HHS (500 or more affected: at the same time as individual notice; fewer than 500: within 60 days after the end of the calendar year of discovery); media (more than 500 residents of one state or jurisdiction); state attorney general or regulator (Appendix A); sponsor (Privacy Officer, per CTA); IRB (Regulatory Coordinator, per IRB policy, SOP-09); covered entity, if the site acted as its business associate (per BAA, no later than 60 days after discovery).</w:t>
      </w:r>
    </w:p>
    <w:p>
      <w:pPr>
        <w:pStyle w:val="Heading2"/>
      </w:pPr>
      <w:r>
        <w:t>Closure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CAPA required (Y/N) and CAPA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closed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Privacy Officer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Site Director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F-400-01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F-400-01 Privacy Incident Report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SOP-12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F-400-01 Privacy Incident Report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