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Equipment Inventory and Calibration Log</w:t>
      </w:r>
    </w:p>
    <w:p>
      <w:r>
        <w:rPr>
          <w:b/>
          <w:sz w:val="18"/>
        </w:rPr>
        <w:t xml:space="preserve">Purpose: </w:t>
      </w:r>
      <w:r>
        <w:rPr>
          <w:b w:val="0"/>
          <w:sz w:val="18"/>
        </w:rPr>
        <w:t>Lists each item of site- or sponsor-owned equipment used in trials, its calibration and maintenance status, failures and impact assessments, and any device issued to a participant.</w:t>
      </w:r>
    </w:p>
    <w:p>
      <w:pPr>
        <w:spacing w:after="0"/>
      </w:pPr>
      <w:r>
        <w:rPr>
          <w:b/>
          <w:sz w:val="18"/>
        </w:rPr>
        <w:t>Instructions</w:t>
      </w:r>
    </w:p>
    <w:p>
      <w:pPr>
        <w:pStyle w:val="ListBullet"/>
        <w:spacing w:after="0"/>
      </w:pPr>
      <w:r>
        <w:rPr>
          <w:b w:val="0"/>
          <w:sz w:val="18"/>
        </w:rPr>
        <w:t>The Quality Lead lists every item used to generate trial data or store IP or specimens before first use, including sponsor-provided equipment, after a documented acceptance check (SOP-11 5.7.1, 5.8.3).</w:t>
      </w:r>
    </w:p>
    <w:p>
      <w:pPr>
        <w:pStyle w:val="ListBullet"/>
        <w:spacing w:after="0"/>
      </w:pPr>
      <w:r>
        <w:rPr>
          <w:b w:val="0"/>
          <w:sz w:val="18"/>
        </w:rPr>
        <w:t xml:space="preserve">Calibrate or maintain at the protocol or sponsor interval, otherwise the manufacturer's, otherwise </w:t>
      </w:r>
      <w:r>
        <w:rPr>
          <w:b w:val="0"/>
          <w:sz w:val="18"/>
          <w:highlight w:val="green"/>
        </w:rPr>
        <w:t>[DEFAULT: annually]</w:t>
      </w:r>
      <w:r>
        <w:rPr>
          <w:b w:val="0"/>
          <w:sz w:val="18"/>
        </w:rPr>
        <w:t>, including probes, loggers, refrigerators and freezers (SOP-11 5.7.3). When filing each certificate, check the as-found results and book the next service before the due date (SOP-11 5.7.4).</w:t>
      </w:r>
    </w:p>
    <w:p>
      <w:pPr>
        <w:pStyle w:val="ListBullet"/>
        <w:spacing w:after="0"/>
      </w:pPr>
      <w:r>
        <w:rPr>
          <w:b w:val="0"/>
          <w:sz w:val="18"/>
        </w:rPr>
        <w:t>Equipment found out of tolerance or failed is removed from use. The Quality Lead records the event and the impact assessment back to the last acceptable check, and the PI reviews it (SOP-11 5.8.2).</w:t>
      </w:r>
    </w:p>
    <w:p>
      <w:pPr>
        <w:pStyle w:val="ListBullet"/>
        <w:spacing w:after="0"/>
      </w:pPr>
      <w:r>
        <w:rPr>
          <w:b w:val="0"/>
          <w:sz w:val="18"/>
        </w:rPr>
        <w:t>Record each device issued to and returned by a participant in Part 2, with participant training (SOP-11 5.8.4).</w:t>
      </w:r>
    </w:p>
    <w:p>
      <w:pPr>
        <w:pStyle w:val="ListBullet"/>
        <w:spacing w:after="0"/>
      </w:pPr>
      <w:r>
        <w:rPr>
          <w:b w:val="0"/>
          <w:sz w:val="18"/>
        </w:rPr>
        <w:t>At the annual calibration round, the Quality Lead reconciles this log against equipment present at each location and records it below. Mark retired or returned items; do not delete rows (SOP-11 5.7.6).</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Location</w:t>
            </w:r>
          </w:p>
        </w:tc>
        <w:tc>
          <w:tcPr>
            <w:tcW w:type="dxa" w:w="2447"/>
          </w:tcPr>
          <w:p/>
        </w:tc>
        <w:tc>
          <w:tcPr>
            <w:tcW w:type="dxa" w:w="2160"/>
            <w:shd w:val="clear" w:color="auto" w:fill="D9E2F3"/>
          </w:tcPr>
          <w:p>
            <w:pPr>
              <w:spacing w:after="0"/>
            </w:pPr>
            <w:r>
              <w:rPr>
                <w:b/>
                <w:sz w:val="17"/>
              </w:rPr>
              <w:t>Log page</w:t>
            </w:r>
          </w:p>
        </w:tc>
        <w:tc>
          <w:tcPr>
            <w:tcW w:type="dxa" w:w="2447"/>
          </w:tcPr>
          <w:p/>
        </w:tc>
        <w:tc>
          <w:tcPr>
            <w:tcW w:type="dxa" w:w="2160"/>
          </w:tcPr>
          <w:p/>
        </w:tc>
        <w:tc>
          <w:tcPr>
            <w:tcW w:type="dxa" w:w="2447"/>
          </w:tcPr>
          <w:p/>
        </w:tc>
      </w:tr>
    </w:tbl>
    <w:p>
      <w:pPr>
        <w:spacing w:after="0"/>
      </w:pPr>
    </w:p>
    <w:p>
      <w:pPr>
        <w:pStyle w:val="Heading2"/>
      </w:pPr>
      <w:r>
        <w:t>Part 1a. Inventory</w:t>
      </w:r>
    </w:p>
    <w:tbl>
      <w:tblPr>
        <w:tblStyle w:val="TableGrid"/>
        <w:tblW w:type="auto" w:w="0"/>
        <w:jc w:val="left"/>
        <w:tblLayout w:type="fixed"/>
        <w:tblLook w:firstColumn="1" w:firstRow="1" w:lastColumn="0" w:lastRow="0" w:noHBand="0" w:noVBand="1" w:val="04A0"/>
      </w:tblPr>
      <w:tblGrid>
        <w:gridCol w:w="1256"/>
        <w:gridCol w:w="2513"/>
        <w:gridCol w:w="1256"/>
        <w:gridCol w:w="1256"/>
        <w:gridCol w:w="1256"/>
        <w:gridCol w:w="1256"/>
        <w:gridCol w:w="1256"/>
        <w:gridCol w:w="1256"/>
        <w:gridCol w:w="1256"/>
        <w:gridCol w:w="1256"/>
      </w:tblGrid>
      <w:tr>
        <w:trPr>
          <w:tblHeader w:val="true"/>
        </w:trPr>
        <w:tc>
          <w:tcPr>
            <w:tcW w:type="dxa" w:w="1256"/>
            <w:shd w:val="clear" w:color="auto" w:fill="D9E2F3"/>
          </w:tcPr>
          <w:p>
            <w:pPr>
              <w:spacing w:after="0"/>
            </w:pPr>
            <w:r>
              <w:rPr>
                <w:b/>
                <w:sz w:val="17"/>
              </w:rPr>
              <w:t>Asset ID</w:t>
            </w:r>
          </w:p>
        </w:tc>
        <w:tc>
          <w:tcPr>
            <w:tcW w:type="dxa" w:w="2513"/>
            <w:shd w:val="clear" w:color="auto" w:fill="D9E2F3"/>
          </w:tcPr>
          <w:p>
            <w:pPr>
              <w:spacing w:after="0"/>
            </w:pPr>
            <w:r>
              <w:rPr>
                <w:b/>
                <w:sz w:val="17"/>
              </w:rPr>
              <w:t>Description (manufacturer and model)</w:t>
            </w:r>
          </w:p>
        </w:tc>
        <w:tc>
          <w:tcPr>
            <w:tcW w:type="dxa" w:w="1256"/>
            <w:shd w:val="clear" w:color="auto" w:fill="D9E2F3"/>
          </w:tcPr>
          <w:p>
            <w:pPr>
              <w:spacing w:after="0"/>
            </w:pPr>
            <w:r>
              <w:rPr>
                <w:b/>
                <w:sz w:val="17"/>
              </w:rPr>
              <w:t>Serial number</w:t>
            </w:r>
          </w:p>
        </w:tc>
        <w:tc>
          <w:tcPr>
            <w:tcW w:type="dxa" w:w="1256"/>
            <w:shd w:val="clear" w:color="auto" w:fill="D9E2F3"/>
          </w:tcPr>
          <w:p>
            <w:pPr>
              <w:spacing w:after="0"/>
            </w:pPr>
            <w:r>
              <w:rPr>
                <w:b/>
                <w:sz w:val="17"/>
              </w:rPr>
              <w:t>Owner (site or sponsor and study)</w:t>
            </w:r>
          </w:p>
        </w:tc>
        <w:tc>
          <w:tcPr>
            <w:tcW w:type="dxa" w:w="1256"/>
            <w:shd w:val="clear" w:color="auto" w:fill="D9E2F3"/>
          </w:tcPr>
          <w:p>
            <w:pPr>
              <w:spacing w:after="0"/>
            </w:pPr>
            <w:r>
              <w:rPr>
                <w:b/>
                <w:sz w:val="17"/>
              </w:rPr>
              <w:t>Location</w:t>
            </w:r>
          </w:p>
        </w:tc>
        <w:tc>
          <w:tcPr>
            <w:tcW w:type="dxa" w:w="1256"/>
            <w:shd w:val="clear" w:color="auto" w:fill="D9E2F3"/>
          </w:tcPr>
          <w:p>
            <w:pPr>
              <w:spacing w:after="0"/>
            </w:pPr>
            <w:r>
              <w:rPr>
                <w:b/>
                <w:sz w:val="17"/>
              </w:rPr>
              <w:t>Use (trial data, safety, storage)</w:t>
            </w:r>
          </w:p>
        </w:tc>
        <w:tc>
          <w:tcPr>
            <w:tcW w:type="dxa" w:w="1256"/>
            <w:shd w:val="clear" w:color="auto" w:fill="D9E2F3"/>
          </w:tcPr>
          <w:p>
            <w:pPr>
              <w:spacing w:after="0"/>
            </w:pPr>
            <w:r>
              <w:rPr>
                <w:b/>
                <w:sz w:val="17"/>
              </w:rPr>
              <w:t>Calibration or PM vendor</w:t>
            </w:r>
          </w:p>
        </w:tc>
        <w:tc>
          <w:tcPr>
            <w:tcW w:type="dxa" w:w="1256"/>
            <w:shd w:val="clear" w:color="auto" w:fill="D9E2F3"/>
          </w:tcPr>
          <w:p>
            <w:pPr>
              <w:spacing w:after="0"/>
            </w:pPr>
            <w:r>
              <w:rPr>
                <w:b/>
                <w:sz w:val="17"/>
              </w:rPr>
              <w:t>Acceptance check done (date)</w:t>
            </w:r>
          </w:p>
        </w:tc>
        <w:tc>
          <w:tcPr>
            <w:tcW w:type="dxa" w:w="1256"/>
            <w:shd w:val="clear" w:color="auto" w:fill="D9E2F3"/>
          </w:tcPr>
          <w:p>
            <w:pPr>
              <w:spacing w:after="0"/>
            </w:pPr>
            <w:r>
              <w:rPr>
                <w:b/>
                <w:sz w:val="17"/>
              </w:rPr>
              <w:t>Status (in service, out of service, retired, returned)</w:t>
            </w:r>
          </w:p>
        </w:tc>
        <w:tc>
          <w:tcPr>
            <w:tcW w:type="dxa" w:w="1256"/>
            <w:shd w:val="clear" w:color="auto" w:fill="D9E2F3"/>
          </w:tcPr>
          <w:p>
            <w:pPr>
              <w:spacing w:after="0"/>
            </w:pPr>
            <w:r>
              <w:rPr>
                <w:b/>
                <w:sz w:val="17"/>
              </w:rPr>
              <w:t>Retired or returned: date and reason</w:t>
            </w: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bl>
    <w:p>
      <w:pPr>
        <w:spacing w:after="40"/>
      </w:pPr>
    </w:p>
    <w:p>
      <w:pPr>
        <w:pStyle w:val="Heading2"/>
      </w:pPr>
      <w:r>
        <w:t>Part 1b. Calibration, maintenance and failures</w:t>
      </w:r>
    </w:p>
    <w:tbl>
      <w:tblPr>
        <w:tblStyle w:val="TableGrid"/>
        <w:tblW w:type="auto" w:w="0"/>
        <w:jc w:val="left"/>
        <w:tblLayout w:type="fixed"/>
        <w:tblLook w:firstColumn="1" w:firstRow="1" w:lastColumn="0" w:lastRow="0" w:noHBand="0" w:noVBand="1" w:val="04A0"/>
      </w:tblPr>
      <w:tblGrid>
        <w:gridCol w:w="1536"/>
        <w:gridCol w:w="1536"/>
        <w:gridCol w:w="1536"/>
        <w:gridCol w:w="1536"/>
        <w:gridCol w:w="1536"/>
        <w:gridCol w:w="1536"/>
        <w:gridCol w:w="3072"/>
        <w:gridCol w:w="1536"/>
      </w:tblGrid>
      <w:tr>
        <w:trPr>
          <w:tblHeader w:val="true"/>
        </w:trPr>
        <w:tc>
          <w:tcPr>
            <w:tcW w:type="dxa" w:w="1536"/>
            <w:shd w:val="clear" w:color="auto" w:fill="D9E2F3"/>
          </w:tcPr>
          <w:p>
            <w:pPr>
              <w:spacing w:after="0"/>
            </w:pPr>
            <w:r>
              <w:rPr>
                <w:b/>
                <w:sz w:val="17"/>
              </w:rPr>
              <w:t>Asset ID</w:t>
            </w:r>
          </w:p>
        </w:tc>
        <w:tc>
          <w:tcPr>
            <w:tcW w:type="dxa" w:w="1536"/>
            <w:shd w:val="clear" w:color="auto" w:fill="D9E2F3"/>
          </w:tcPr>
          <w:p>
            <w:pPr>
              <w:spacing w:after="0"/>
            </w:pPr>
            <w:r>
              <w:rPr>
                <w:b/>
                <w:sz w:val="17"/>
              </w:rPr>
              <w:t>Calibration or PM frequency</w:t>
            </w:r>
          </w:p>
        </w:tc>
        <w:tc>
          <w:tcPr>
            <w:tcW w:type="dxa" w:w="1536"/>
            <w:shd w:val="clear" w:color="auto" w:fill="D9E2F3"/>
          </w:tcPr>
          <w:p>
            <w:pPr>
              <w:spacing w:after="0"/>
            </w:pPr>
            <w:r>
              <w:rPr>
                <w:b/>
                <w:sz w:val="17"/>
              </w:rPr>
              <w:t>Date done</w:t>
            </w:r>
          </w:p>
        </w:tc>
        <w:tc>
          <w:tcPr>
            <w:tcW w:type="dxa" w:w="1536"/>
            <w:shd w:val="clear" w:color="auto" w:fill="D9E2F3"/>
          </w:tcPr>
          <w:p>
            <w:pPr>
              <w:spacing w:after="0"/>
            </w:pPr>
            <w:r>
              <w:rPr>
                <w:b/>
                <w:sz w:val="17"/>
              </w:rPr>
              <w:t>Next due</w:t>
            </w:r>
          </w:p>
        </w:tc>
        <w:tc>
          <w:tcPr>
            <w:tcW w:type="dxa" w:w="1536"/>
            <w:shd w:val="clear" w:color="auto" w:fill="D9E2F3"/>
          </w:tcPr>
          <w:p>
            <w:pPr>
              <w:spacing w:after="0"/>
            </w:pPr>
            <w:r>
              <w:rPr>
                <w:b/>
                <w:sz w:val="17"/>
              </w:rPr>
              <w:t>Certificate on file; as-found checked (Y/N)</w:t>
            </w:r>
          </w:p>
        </w:tc>
        <w:tc>
          <w:tcPr>
            <w:tcW w:type="dxa" w:w="1536"/>
            <w:shd w:val="clear" w:color="auto" w:fill="D9E2F3"/>
          </w:tcPr>
          <w:p>
            <w:pPr>
              <w:spacing w:after="0"/>
            </w:pPr>
            <w:r>
              <w:rPr>
                <w:b/>
                <w:sz w:val="17"/>
              </w:rPr>
              <w:t>Result (in tolerance, out of tolerance, failed)</w:t>
            </w:r>
          </w:p>
        </w:tc>
        <w:tc>
          <w:tcPr>
            <w:tcW w:type="dxa" w:w="3072"/>
            <w:shd w:val="clear" w:color="auto" w:fill="D9E2F3"/>
          </w:tcPr>
          <w:p>
            <w:pPr>
              <w:spacing w:after="0"/>
            </w:pPr>
            <w:r>
              <w:rPr>
                <w:b/>
                <w:sz w:val="17"/>
              </w:rPr>
              <w:t>Impact assessment reference and PI review (date)</w:t>
            </w:r>
          </w:p>
        </w:tc>
        <w:tc>
          <w:tcPr>
            <w:tcW w:type="dxa" w:w="1536"/>
            <w:shd w:val="clear" w:color="auto" w:fill="D9E2F3"/>
          </w:tcPr>
          <w:p>
            <w:pPr>
              <w:spacing w:after="0"/>
            </w:pPr>
            <w:r>
              <w:rPr>
                <w:b/>
                <w:sz w:val="17"/>
              </w:rPr>
              <w:t>Initials</w:t>
            </w: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bl>
    <w:p>
      <w:pPr>
        <w:spacing w:after="40"/>
      </w:pPr>
    </w:p>
    <w:p>
      <w:pPr>
        <w:pStyle w:val="Heading2"/>
      </w:pPr>
      <w:r>
        <w:t>Part 2. Devices issued to participants</w:t>
      </w:r>
    </w:p>
    <w:tbl>
      <w:tblPr>
        <w:tblStyle w:val="TableGrid"/>
        <w:tblW w:type="auto" w:w="0"/>
        <w:jc w:val="left"/>
        <w:tblLayout w:type="fixed"/>
        <w:tblLook w:firstColumn="1" w:firstRow="1" w:lastColumn="0" w:lastRow="0" w:noHBand="0" w:noVBand="1" w:val="04A0"/>
      </w:tblPr>
      <w:tblGrid>
        <w:gridCol w:w="1152"/>
        <w:gridCol w:w="2304"/>
        <w:gridCol w:w="1152"/>
        <w:gridCol w:w="1152"/>
        <w:gridCol w:w="1152"/>
        <w:gridCol w:w="1152"/>
        <w:gridCol w:w="1152"/>
        <w:gridCol w:w="1152"/>
        <w:gridCol w:w="2304"/>
        <w:gridCol w:w="1152"/>
      </w:tblGrid>
      <w:tr>
        <w:trPr>
          <w:tblHeader w:val="true"/>
        </w:trPr>
        <w:tc>
          <w:tcPr>
            <w:tcW w:type="dxa" w:w="1152"/>
            <w:shd w:val="clear" w:color="auto" w:fill="D9E2F3"/>
          </w:tcPr>
          <w:p>
            <w:pPr>
              <w:spacing w:after="0"/>
            </w:pPr>
            <w:r>
              <w:rPr>
                <w:b/>
                <w:sz w:val="17"/>
              </w:rPr>
              <w:t>Asset ID</w:t>
            </w:r>
          </w:p>
        </w:tc>
        <w:tc>
          <w:tcPr>
            <w:tcW w:type="dxa" w:w="2304"/>
            <w:shd w:val="clear" w:color="auto" w:fill="D9E2F3"/>
          </w:tcPr>
          <w:p>
            <w:pPr>
              <w:spacing w:after="0"/>
            </w:pPr>
            <w:r>
              <w:rPr>
                <w:b/>
                <w:sz w:val="17"/>
              </w:rPr>
              <w:t>Description</w:t>
            </w:r>
          </w:p>
        </w:tc>
        <w:tc>
          <w:tcPr>
            <w:tcW w:type="dxa" w:w="1152"/>
            <w:shd w:val="clear" w:color="auto" w:fill="D9E2F3"/>
          </w:tcPr>
          <w:p>
            <w:pPr>
              <w:spacing w:after="0"/>
            </w:pPr>
            <w:r>
              <w:rPr>
                <w:b/>
                <w:sz w:val="17"/>
              </w:rPr>
              <w:t>Serial number</w:t>
            </w:r>
          </w:p>
        </w:tc>
        <w:tc>
          <w:tcPr>
            <w:tcW w:type="dxa" w:w="1152"/>
            <w:shd w:val="clear" w:color="auto" w:fill="D9E2F3"/>
          </w:tcPr>
          <w:p>
            <w:pPr>
              <w:spacing w:after="0"/>
            </w:pPr>
            <w:r>
              <w:rPr>
                <w:b/>
                <w:sz w:val="17"/>
              </w:rPr>
              <w:t>Participant ID</w:t>
            </w:r>
          </w:p>
        </w:tc>
        <w:tc>
          <w:tcPr>
            <w:tcW w:type="dxa" w:w="1152"/>
            <w:shd w:val="clear" w:color="auto" w:fill="D9E2F3"/>
          </w:tcPr>
          <w:p>
            <w:pPr>
              <w:spacing w:after="0"/>
            </w:pPr>
            <w:r>
              <w:rPr>
                <w:b/>
                <w:sz w:val="17"/>
              </w:rPr>
              <w:t>Issue date</w:t>
            </w:r>
          </w:p>
        </w:tc>
        <w:tc>
          <w:tcPr>
            <w:tcW w:type="dxa" w:w="1152"/>
            <w:shd w:val="clear" w:color="auto" w:fill="D9E2F3"/>
          </w:tcPr>
          <w:p>
            <w:pPr>
              <w:spacing w:after="0"/>
            </w:pPr>
            <w:r>
              <w:rPr>
                <w:b/>
                <w:sz w:val="17"/>
              </w:rPr>
              <w:t>Issued by</w:t>
            </w:r>
          </w:p>
        </w:tc>
        <w:tc>
          <w:tcPr>
            <w:tcW w:type="dxa" w:w="1152"/>
            <w:shd w:val="clear" w:color="auto" w:fill="D9E2F3"/>
          </w:tcPr>
          <w:p>
            <w:pPr>
              <w:spacing w:after="0"/>
            </w:pPr>
            <w:r>
              <w:rPr>
                <w:b/>
                <w:sz w:val="17"/>
              </w:rPr>
              <w:t>Participant trained (date)</w:t>
            </w:r>
          </w:p>
        </w:tc>
        <w:tc>
          <w:tcPr>
            <w:tcW w:type="dxa" w:w="1152"/>
            <w:shd w:val="clear" w:color="auto" w:fill="D9E2F3"/>
          </w:tcPr>
          <w:p>
            <w:pPr>
              <w:spacing w:after="0"/>
            </w:pPr>
            <w:r>
              <w:rPr>
                <w:b/>
                <w:sz w:val="17"/>
              </w:rPr>
              <w:t>Return date</w:t>
            </w:r>
          </w:p>
        </w:tc>
        <w:tc>
          <w:tcPr>
            <w:tcW w:type="dxa" w:w="2304"/>
            <w:shd w:val="clear" w:color="auto" w:fill="D9E2F3"/>
          </w:tcPr>
          <w:p>
            <w:pPr>
              <w:spacing w:after="0"/>
            </w:pPr>
            <w:r>
              <w:rPr>
                <w:b/>
                <w:sz w:val="17"/>
              </w:rPr>
              <w:t>Condition on return</w:t>
            </w:r>
          </w:p>
        </w:tc>
        <w:tc>
          <w:tcPr>
            <w:tcW w:type="dxa" w:w="1152"/>
            <w:shd w:val="clear" w:color="auto" w:fill="D9E2F3"/>
          </w:tcPr>
          <w:p>
            <w:pPr>
              <w:spacing w:after="0"/>
            </w:pPr>
            <w:r>
              <w:rPr>
                <w:b/>
                <w:sz w:val="17"/>
              </w:rPr>
              <w:t>Initials</w:t>
            </w: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bl>
    <w:p>
      <w:pPr>
        <w:spacing w:after="40"/>
      </w:pPr>
    </w:p>
    <w:p>
      <w:pPr>
        <w:pStyle w:val="Heading2"/>
      </w:pPr>
      <w:r>
        <w:t>Annual reconciliation</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Annual reconciliation date</w:t>
            </w:r>
          </w:p>
        </w:tc>
        <w:tc>
          <w:tcPr>
            <w:tcW w:type="dxa" w:w="2447"/>
          </w:tcPr>
          <w:p/>
        </w:tc>
        <w:tc>
          <w:tcPr>
            <w:tcW w:type="dxa" w:w="2160"/>
            <w:shd w:val="clear" w:color="auto" w:fill="D9E2F3"/>
          </w:tcPr>
          <w:p>
            <w:pPr>
              <w:spacing w:after="0"/>
            </w:pPr>
            <w:r>
              <w:rPr>
                <w:b/>
                <w:sz w:val="17"/>
              </w:rPr>
              <w:t>Reconciled by (Quality Lead)</w:t>
            </w:r>
          </w:p>
        </w:tc>
        <w:tc>
          <w:tcPr>
            <w:tcW w:type="dxa" w:w="2447"/>
          </w:tcPr>
          <w:p/>
        </w:tc>
        <w:tc>
          <w:tcPr>
            <w:tcW w:type="dxa" w:w="2160"/>
            <w:shd w:val="clear" w:color="auto" w:fill="D9E2F3"/>
          </w:tcPr>
          <w:p>
            <w:pPr>
              <w:spacing w:after="0"/>
            </w:pPr>
            <w:r>
              <w:rPr>
                <w:b/>
                <w:sz w:val="17"/>
              </w:rPr>
              <w:t>Missing or unlisted equipment resolved</w:t>
            </w:r>
          </w:p>
        </w:tc>
        <w:tc>
          <w:tcPr>
            <w:tcW w:type="dxa" w:w="2447"/>
          </w:tc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F-312-01 v1.0 | Eff. </w:t>
    </w:r>
    <w:r>
      <w:rPr>
        <w:b w:val="0"/>
        <w:color w:val="595959"/>
        <w:sz w:val="16"/>
        <w:highlight w:val="yellow"/>
      </w:rPr>
      <w:t>[EFFECTIVE DATE]</w:t>
    </w:r>
    <w:r>
      <w:rPr>
        <w:b w:val="0"/>
        <w:color w:val="595959"/>
        <w:sz w:val="16"/>
      </w:rPr>
      <w:t xml:space="preserve"> | Template release 2.0</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F-312-01 Equipment Inventory and Calibration Log</w:t>
          </w:r>
        </w:p>
      </w:tc>
      <w:tc>
        <w:tcPr>
          <w:tcW w:type="dxa" w:w="4147"/>
        </w:tcPr>
        <w:p>
          <w:pPr>
            <w:jc w:val="right"/>
          </w:pPr>
          <w:r>
            <w:rPr>
              <w:b w:val="0"/>
              <w:color w:val="404040"/>
              <w:sz w:val="17"/>
            </w:rPr>
            <w:t>Ref: SOP-11</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F-312-01 Equipment Inventory and Calibration Log</dc:title>
  <dc:subject>Form</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