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Participant Payment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every payment and reimbursement made to each participant in a study, for reconciliation and invoicing.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Build the payment schedule from the IRB-approved version only (SOP-10 5.6.3). Record each payment when issued, by participant ID only, </w:t>
      </w:r>
      <w:r>
        <w:rPr>
          <w:b w:val="0"/>
          <w:sz w:val="18"/>
          <w:highlight w:val="green"/>
        </w:rPr>
        <w:t>[DEFAULT: within 5 business days of the visit]</w:t>
      </w:r>
      <w:r>
        <w:rPr>
          <w:b w:val="0"/>
          <w:sz w:val="18"/>
        </w:rPr>
        <w:t xml:space="preserve"> where the consent form sets no timing (SOP-10 5.8.3). Never write a Social Security number here (SOP-10 5.7.1).</w:t>
      </w:r>
    </w:p>
    <w:p>
      <w:pPr>
        <w:pStyle w:val="ListBullet"/>
        <w:spacing w:after="0"/>
      </w:pPr>
      <w:r>
        <w:rPr>
          <w:b w:val="0"/>
          <w:sz w:val="18"/>
        </w:rPr>
        <w:t>Record reimbursements separately from visit payments, with the expense category (SOP-10 5.8.6). Record refusals of payment and vendor-issued payments so the record is complete (SOP-10 5.7.2, 5.8.7).</w:t>
      </w:r>
    </w:p>
    <w:p>
      <w:pPr>
        <w:pStyle w:val="ListBullet"/>
        <w:spacing w:after="0"/>
      </w:pPr>
      <w:r>
        <w:rPr>
          <w:b w:val="0"/>
          <w:sz w:val="18"/>
        </w:rPr>
        <w:t>Where the schedule does not cover a partial or missed visit, the PI decides in the participant's favor and records it (SOP-10 5.8.4). A payment outside the schedule is a deviation (SOP-10 5.8.5).</w:t>
      </w:r>
    </w:p>
    <w:p>
      <w:pPr>
        <w:pStyle w:val="ListBullet"/>
        <w:spacing w:after="0"/>
      </w:pPr>
      <w:r>
        <w:rPr>
          <w:b w:val="0"/>
          <w:sz w:val="18"/>
        </w:rPr>
        <w:t>Before each sponsor invoice for participant costs and at closeout, the Finance / Contracts Lead reconciles this log against card or bank records, sponsor payments and completed visits in EDC (SOP-10 5.10.1).</w:t>
      </w:r>
    </w:p>
    <w:p>
      <w:pPr>
        <w:pStyle w:val="ListBullet"/>
        <w:spacing w:after="0"/>
      </w:pPr>
      <w:r>
        <w:rPr>
          <w:b w:val="0"/>
          <w:sz w:val="18"/>
        </w:rPr>
        <w:t>The person who approves a study's payments does not reconcile them; where one person does both, the Site Director or Quality Lead reviews and initials the reconciliation (SOP-10 5.10.1). Unassigned card stock is counted at each restock and at closeout by someone other than the issuer (SOP-10 5.8.2).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Payment schedule version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Payment method or card platform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1152"/>
        <w:gridCol w:w="2304"/>
        <w:gridCol w:w="1152"/>
        <w:gridCol w:w="2304"/>
        <w:gridCol w:w="1152"/>
        <w:gridCol w:w="1152"/>
        <w:gridCol w:w="1152"/>
        <w:gridCol w:w="1152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issued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or reason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date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Type (visit payment, reimbursement and category, declined, vendor, other)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Amount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Method (card, check, other)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Card last 4 or check number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Issued by (initials)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decision for partial or missed visit (initials and date)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Reconciliations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04"/>
        <w:gridCol w:w="4608"/>
        <w:gridCol w:w="4608"/>
        <w:gridCol w:w="1152"/>
        <w:gridCol w:w="1152"/>
      </w:tblGrid>
      <w:tr>
        <w:trPr>
          <w:tblHeader w:val="true"/>
        </w:trPr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Period or invoice reconciled</w:t>
            </w:r>
          </w:p>
        </w:tc>
        <w:tc>
          <w:tcPr>
            <w:tcW w:type="dxa" w:w="4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Records compared (F-310-01, card or bank, sponsor payments, EDC visits)</w:t>
            </w:r>
          </w:p>
        </w:tc>
        <w:tc>
          <w:tcPr>
            <w:tcW w:type="dxa" w:w="4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Differences and resolution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Reconciled by (date)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Reviewed by Site Director or Quality Lead (date)</w:t>
            </w: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Unassigned card stock counts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82"/>
        <w:gridCol w:w="2764"/>
        <w:gridCol w:w="1382"/>
        <w:gridCol w:w="1382"/>
        <w:gridCol w:w="2764"/>
        <w:gridCol w:w="4147"/>
      </w:tblGrid>
      <w:tr>
        <w:trPr>
          <w:tblHeader w:val="true"/>
        </w:trPr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Reason (restock, closeout)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Cards counted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Expected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Counted by (not the issuer)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Difference and action</w:t>
            </w: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Closeout (SOP-10 5.10.3)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Final closeout reconciliation: all earned amounts paid and claims closed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Unassigned cards deactivated or reassigned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Finance / Contracts Lead (final reconciliation)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F-310-01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F-310-01 Participant Payment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F-310-01 Participant Payment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