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Protocol Deviation Log</w:t>
      </w:r>
    </w:p>
    <w:p>
      <w:r>
        <w:rPr>
          <w:b/>
          <w:sz w:val="18"/>
        </w:rPr>
        <w:t xml:space="preserve">Purpose: </w:t>
      </w:r>
      <w:r>
        <w:rPr>
          <w:b w:val="0"/>
          <w:sz w:val="18"/>
        </w:rPr>
        <w:t>Records every protocol deviation for a study, the PI's assessment and classification, and reporting to the sponsor and IRB.</w:t>
      </w:r>
    </w:p>
    <w:p>
      <w:pPr>
        <w:spacing w:after="0"/>
      </w:pPr>
      <w:r>
        <w:rPr>
          <w:b/>
          <w:sz w:val="18"/>
        </w:rPr>
        <w:t>Instructions</w:t>
      </w:r>
    </w:p>
    <w:p>
      <w:pPr>
        <w:pStyle w:val="ListBullet"/>
        <w:spacing w:after="0"/>
      </w:pPr>
      <w:r>
        <w:rPr>
          <w:b w:val="0"/>
          <w:sz w:val="18"/>
        </w:rPr>
        <w:t xml:space="preserve">Staff who find a deviation tell the CRC or PI the same day. The CRC completes Part 1 </w:t>
      </w:r>
      <w:r>
        <w:rPr>
          <w:b w:val="0"/>
          <w:sz w:val="18"/>
          <w:highlight w:val="green"/>
        </w:rPr>
        <w:t>[DEFAULT: within 5 business days of discovery]</w:t>
      </w:r>
      <w:r>
        <w:rPr>
          <w:b w:val="0"/>
          <w:sz w:val="18"/>
        </w:rPr>
        <w:t>, including deviations found by monitors, sponsor review or QC (SOP-08 5.3). For a study-wide deviation, leave Participant ID blank or list all affected participants.</w:t>
      </w:r>
    </w:p>
    <w:p>
      <w:pPr>
        <w:pStyle w:val="ListBullet"/>
        <w:spacing w:after="0"/>
      </w:pPr>
      <w:r>
        <w:rPr>
          <w:b w:val="0"/>
          <w:sz w:val="18"/>
        </w:rPr>
        <w:t>A possible IRB prompt-report (including any consent error) goes to the PI and Regulatory Coordinator the same day and onto F-502-01 (SOP-08 5.4.2).</w:t>
      </w:r>
    </w:p>
    <w:p>
      <w:pPr>
        <w:pStyle w:val="ListBullet"/>
        <w:spacing w:after="0"/>
      </w:pPr>
      <w:r>
        <w:rPr>
          <w:b w:val="0"/>
          <w:sz w:val="18"/>
        </w:rPr>
        <w:t xml:space="preserve">Classify against the sponsor's criteria. The PI completes Part 2 </w:t>
      </w:r>
      <w:r>
        <w:rPr>
          <w:b w:val="0"/>
          <w:sz w:val="18"/>
          <w:highlight w:val="green"/>
        </w:rPr>
        <w:t>[DEFAULT: within 5 business days of it being recorded]</w:t>
      </w:r>
      <w:r>
        <w:rPr>
          <w:b w:val="0"/>
          <w:sz w:val="18"/>
        </w:rPr>
        <w:t xml:space="preserve"> and assesses the participant the same day where safety may be affected (SOP-08 5.4). QC grades do not replace this classification.</w:t>
      </w:r>
    </w:p>
    <w:p>
      <w:pPr>
        <w:pStyle w:val="ListBullet"/>
        <w:spacing w:after="0"/>
      </w:pPr>
      <w:r>
        <w:rPr>
          <w:b w:val="0"/>
          <w:sz w:val="18"/>
        </w:rPr>
        <w:t>The CRC reports to the sponsor as the protocol requires; the Regulatory Coordinator reports to the IRB when its policy requires (SOP-08 5.5).</w:t>
      </w:r>
    </w:p>
    <w:p>
      <w:pPr>
        <w:pStyle w:val="ListBullet"/>
        <w:spacing w:after="0"/>
      </w:pPr>
      <w:r>
        <w:rPr>
          <w:b w:val="0"/>
          <w:sz w:val="18"/>
        </w:rPr>
        <w:t>The Lead CRC reviews this log before each monitoring visit and reconciles it with the sponsor's list at each visit. The Quality Lead reviews all studies at the quarterly quality review and opens CAPA under SOP-08 5.6.2 (SOP-08 5.3.5, 5.10).</w:t>
      </w:r>
    </w:p>
    <w:p>
      <w:pPr>
        <w:pStyle w:val="ListBullet"/>
        <w:spacing w:after="0"/>
      </w:pPr>
      <w:r>
        <w:rPr>
          <w:b w:val="0"/>
          <w:sz w:val="18"/>
        </w:rPr>
        <w:t>Use the sponsor's log instead if the sponsor requires it.</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Sponsor</w:t>
            </w:r>
          </w:p>
        </w:tc>
        <w:tc>
          <w:tcPr>
            <w:tcW w:type="dxa" w:w="2447"/>
          </w:tcPr>
          <w:p/>
        </w:tc>
        <w:tc>
          <w:tcPr>
            <w:tcW w:type="dxa" w:w="2160"/>
            <w:shd w:val="clear" w:color="auto" w:fill="D9E2F3"/>
          </w:tcPr>
          <w:p>
            <w:pPr>
              <w:spacing w:after="0"/>
            </w:pPr>
            <w:r>
              <w:rPr>
                <w:b/>
                <w:sz w:val="17"/>
              </w:rPr>
              <w:t>Site number</w:t>
            </w:r>
          </w:p>
        </w:tc>
        <w:tc>
          <w:tcPr>
            <w:tcW w:type="dxa" w:w="2447"/>
          </w:tcPr>
          <w:p/>
        </w:tc>
      </w:tr>
      <w:tr>
        <w:trPr>
          <w:trHeight w:val="432"/>
        </w:trPr>
        <w:tc>
          <w:tcPr>
            <w:tcW w:type="dxa" w:w="2160"/>
            <w:shd w:val="clear" w:color="auto" w:fill="D9E2F3"/>
          </w:tcPr>
          <w:p>
            <w:pPr>
              <w:spacing w:after="0"/>
            </w:pPr>
            <w:r>
              <w:rPr>
                <w:b/>
                <w:sz w:val="17"/>
              </w:rPr>
              <w:t>PI name</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1. Deviation record (CRC)</w:t>
      </w:r>
    </w:p>
    <w:tbl>
      <w:tblPr>
        <w:tblStyle w:val="TableGrid"/>
        <w:tblW w:type="auto" w:w="0"/>
        <w:jc w:val="left"/>
        <w:tblLayout w:type="fixed"/>
        <w:tblLook w:firstColumn="1" w:firstRow="1" w:lastColumn="0" w:lastRow="0" w:noHBand="0" w:noVBand="1" w:val="04A0"/>
      </w:tblPr>
      <w:tblGrid>
        <w:gridCol w:w="1063"/>
        <w:gridCol w:w="1063"/>
        <w:gridCol w:w="1063"/>
        <w:gridCol w:w="1063"/>
        <w:gridCol w:w="3190"/>
        <w:gridCol w:w="1063"/>
        <w:gridCol w:w="1595"/>
        <w:gridCol w:w="1595"/>
        <w:gridCol w:w="1063"/>
        <w:gridCol w:w="1063"/>
      </w:tblGrid>
      <w:tr>
        <w:trPr>
          <w:tblHeader w:val="true"/>
        </w:trPr>
        <w:tc>
          <w:tcPr>
            <w:tcW w:type="dxa" w:w="1063"/>
            <w:shd w:val="clear" w:color="auto" w:fill="D9E2F3"/>
          </w:tcPr>
          <w:p>
            <w:pPr>
              <w:spacing w:after="0"/>
            </w:pPr>
            <w:r>
              <w:rPr>
                <w:b/>
                <w:sz w:val="17"/>
              </w:rPr>
              <w:t>Deviation number</w:t>
            </w:r>
          </w:p>
        </w:tc>
        <w:tc>
          <w:tcPr>
            <w:tcW w:type="dxa" w:w="1063"/>
            <w:shd w:val="clear" w:color="auto" w:fill="D9E2F3"/>
          </w:tcPr>
          <w:p>
            <w:pPr>
              <w:spacing w:after="0"/>
            </w:pPr>
            <w:r>
              <w:rPr>
                <w:b/>
                <w:sz w:val="17"/>
              </w:rPr>
              <w:t>Date occurred</w:t>
            </w:r>
          </w:p>
        </w:tc>
        <w:tc>
          <w:tcPr>
            <w:tcW w:type="dxa" w:w="1063"/>
            <w:shd w:val="clear" w:color="auto" w:fill="D9E2F3"/>
          </w:tcPr>
          <w:p>
            <w:pPr>
              <w:spacing w:after="0"/>
            </w:pPr>
            <w:r>
              <w:rPr>
                <w:b/>
                <w:sz w:val="17"/>
              </w:rPr>
              <w:t>Date discovered</w:t>
            </w:r>
          </w:p>
        </w:tc>
        <w:tc>
          <w:tcPr>
            <w:tcW w:type="dxa" w:w="1063"/>
            <w:shd w:val="clear" w:color="auto" w:fill="D9E2F3"/>
          </w:tcPr>
          <w:p>
            <w:pPr>
              <w:spacing w:after="0"/>
            </w:pPr>
            <w:r>
              <w:rPr>
                <w:b/>
                <w:sz w:val="17"/>
              </w:rPr>
              <w:t>Participant ID(s) or study-wide</w:t>
            </w:r>
          </w:p>
        </w:tc>
        <w:tc>
          <w:tcPr>
            <w:tcW w:type="dxa" w:w="3190"/>
            <w:shd w:val="clear" w:color="auto" w:fill="D9E2F3"/>
          </w:tcPr>
          <w:p>
            <w:pPr>
              <w:spacing w:after="0"/>
            </w:pPr>
            <w:r>
              <w:rPr>
                <w:b/>
                <w:sz w:val="17"/>
              </w:rPr>
              <w:t>What happened and protocol section not followed</w:t>
            </w:r>
          </w:p>
        </w:tc>
        <w:tc>
          <w:tcPr>
            <w:tcW w:type="dxa" w:w="1063"/>
            <w:shd w:val="clear" w:color="auto" w:fill="D9E2F3"/>
          </w:tcPr>
          <w:p>
            <w:pPr>
              <w:spacing w:after="0"/>
            </w:pPr>
            <w:r>
              <w:rPr>
                <w:b/>
                <w:sz w:val="17"/>
              </w:rPr>
              <w:t>Found by and how</w:t>
            </w:r>
          </w:p>
        </w:tc>
        <w:tc>
          <w:tcPr>
            <w:tcW w:type="dxa" w:w="1595"/>
            <w:shd w:val="clear" w:color="auto" w:fill="D9E2F3"/>
          </w:tcPr>
          <w:p>
            <w:pPr>
              <w:spacing w:after="0"/>
            </w:pPr>
            <w:r>
              <w:rPr>
                <w:b/>
                <w:sz w:val="17"/>
              </w:rPr>
              <w:t>Immediate action</w:t>
            </w:r>
          </w:p>
        </w:tc>
        <w:tc>
          <w:tcPr>
            <w:tcW w:type="dxa" w:w="1595"/>
            <w:shd w:val="clear" w:color="auto" w:fill="D9E2F3"/>
          </w:tcPr>
          <w:p>
            <w:pPr>
              <w:spacing w:after="0"/>
            </w:pPr>
            <w:r>
              <w:rPr>
                <w:b/>
                <w:sz w:val="17"/>
              </w:rPr>
              <w:t>Preliminary classification</w:t>
            </w:r>
          </w:p>
        </w:tc>
        <w:tc>
          <w:tcPr>
            <w:tcW w:type="dxa" w:w="1063"/>
            <w:shd w:val="clear" w:color="auto" w:fill="D9E2F3"/>
          </w:tcPr>
          <w:p>
            <w:pPr>
              <w:spacing w:after="0"/>
            </w:pPr>
            <w:r>
              <w:rPr>
                <w:b/>
                <w:sz w:val="17"/>
              </w:rPr>
              <w:t>Planned deviation: sponsor approval on file (Y/N/N/A)</w:t>
            </w:r>
          </w:p>
        </w:tc>
        <w:tc>
          <w:tcPr>
            <w:tcW w:type="dxa" w:w="1063"/>
            <w:shd w:val="clear" w:color="auto" w:fill="D9E2F3"/>
          </w:tcPr>
          <w:p>
            <w:pPr>
              <w:spacing w:after="0"/>
            </w:pPr>
            <w:r>
              <w:rPr>
                <w:b/>
                <w:sz w:val="17"/>
              </w:rPr>
              <w:t>Recorded by (initials and date)</w:t>
            </w: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3190"/>
          </w:tcPr>
          <w:p>
            <w:pPr>
              <w:spacing w:after="0"/>
            </w:pPr>
          </w:p>
        </w:tc>
        <w:tc>
          <w:tcPr>
            <w:tcW w:type="dxa" w:w="1063"/>
          </w:tcPr>
          <w:p>
            <w:pPr>
              <w:spacing w:after="0"/>
            </w:pPr>
          </w:p>
        </w:tc>
        <w:tc>
          <w:tcPr>
            <w:tcW w:type="dxa" w:w="1595"/>
          </w:tcPr>
          <w:p>
            <w:pPr>
              <w:spacing w:after="0"/>
            </w:pPr>
          </w:p>
        </w:tc>
        <w:tc>
          <w:tcPr>
            <w:tcW w:type="dxa" w:w="1595"/>
          </w:tcPr>
          <w:p>
            <w:pPr>
              <w:spacing w:after="0"/>
            </w:pPr>
          </w:p>
        </w:tc>
        <w:tc>
          <w:tcPr>
            <w:tcW w:type="dxa" w:w="1063"/>
          </w:tcPr>
          <w:p>
            <w:pPr>
              <w:spacing w:after="0"/>
            </w:pPr>
          </w:p>
        </w:tc>
        <w:tc>
          <w:tcPr>
            <w:tcW w:type="dxa" w:w="1063"/>
          </w:tcPr>
          <w:p>
            <w:pPr>
              <w:spacing w:after="0"/>
            </w:pPr>
          </w:p>
        </w:tc>
      </w:tr>
    </w:tbl>
    <w:p>
      <w:pPr>
        <w:spacing w:after="40"/>
      </w:pPr>
    </w:p>
    <w:p>
      <w:pPr>
        <w:pStyle w:val="Heading2"/>
      </w:pPr>
      <w:r>
        <w:t>Part 2. PI assessment and reporting</w:t>
      </w:r>
    </w:p>
    <w:tbl>
      <w:tblPr>
        <w:tblStyle w:val="TableGrid"/>
        <w:tblW w:type="auto" w:w="0"/>
        <w:jc w:val="left"/>
        <w:tblLayout w:type="fixed"/>
        <w:tblLook w:firstColumn="1" w:firstRow="1" w:lastColumn="0" w:lastRow="0" w:noHBand="0" w:noVBand="1" w:val="04A0"/>
      </w:tblPr>
      <w:tblGrid>
        <w:gridCol w:w="1024"/>
        <w:gridCol w:w="1536"/>
        <w:gridCol w:w="1536"/>
        <w:gridCol w:w="1536"/>
        <w:gridCol w:w="2048"/>
        <w:gridCol w:w="1536"/>
        <w:gridCol w:w="1024"/>
        <w:gridCol w:w="1024"/>
        <w:gridCol w:w="1536"/>
        <w:gridCol w:w="1024"/>
      </w:tblGrid>
      <w:tr>
        <w:trPr>
          <w:tblHeader w:val="true"/>
        </w:trPr>
        <w:tc>
          <w:tcPr>
            <w:tcW w:type="dxa" w:w="1024"/>
            <w:shd w:val="clear" w:color="auto" w:fill="D9E2F3"/>
          </w:tcPr>
          <w:p>
            <w:pPr>
              <w:spacing w:after="0"/>
            </w:pPr>
            <w:r>
              <w:rPr>
                <w:b/>
                <w:sz w:val="17"/>
              </w:rPr>
              <w:t>Deviation number</w:t>
            </w:r>
          </w:p>
        </w:tc>
        <w:tc>
          <w:tcPr>
            <w:tcW w:type="dxa" w:w="1536"/>
            <w:shd w:val="clear" w:color="auto" w:fill="D9E2F3"/>
          </w:tcPr>
          <w:p>
            <w:pPr>
              <w:spacing w:after="0"/>
            </w:pPr>
            <w:r>
              <w:rPr>
                <w:b/>
                <w:sz w:val="17"/>
              </w:rPr>
              <w:t>Impact on participant safety, rights and well-being</w:t>
            </w:r>
          </w:p>
        </w:tc>
        <w:tc>
          <w:tcPr>
            <w:tcW w:type="dxa" w:w="1536"/>
            <w:shd w:val="clear" w:color="auto" w:fill="D9E2F3"/>
          </w:tcPr>
          <w:p>
            <w:pPr>
              <w:spacing w:after="0"/>
            </w:pPr>
            <w:r>
              <w:rPr>
                <w:b/>
                <w:sz w:val="17"/>
              </w:rPr>
              <w:t>Impact on data reliability</w:t>
            </w:r>
          </w:p>
        </w:tc>
        <w:tc>
          <w:tcPr>
            <w:tcW w:type="dxa" w:w="1536"/>
            <w:shd w:val="clear" w:color="auto" w:fill="D9E2F3"/>
          </w:tcPr>
          <w:p>
            <w:pPr>
              <w:spacing w:after="0"/>
            </w:pPr>
            <w:r>
              <w:rPr>
                <w:b/>
                <w:sz w:val="17"/>
              </w:rPr>
              <w:t>Classification (important or not)</w:t>
            </w:r>
          </w:p>
        </w:tc>
        <w:tc>
          <w:tcPr>
            <w:tcW w:type="dxa" w:w="2048"/>
            <w:shd w:val="clear" w:color="auto" w:fill="D9E2F3"/>
          </w:tcPr>
          <w:p>
            <w:pPr>
              <w:spacing w:after="0"/>
            </w:pPr>
            <w:r>
              <w:rPr>
                <w:b/>
                <w:sz w:val="17"/>
              </w:rPr>
              <w:t>Meets IRB reporting criteria, including possible serious or continuing noncompliance (Y/N; F-502-01 no.)</w:t>
            </w:r>
          </w:p>
        </w:tc>
        <w:tc>
          <w:tcPr>
            <w:tcW w:type="dxa" w:w="1536"/>
            <w:shd w:val="clear" w:color="auto" w:fill="D9E2F3"/>
          </w:tcPr>
          <w:p>
            <w:pPr>
              <w:spacing w:after="0"/>
            </w:pPr>
            <w:r>
              <w:rPr>
                <w:b/>
                <w:sz w:val="17"/>
              </w:rPr>
              <w:t>Action for the participant</w:t>
            </w:r>
          </w:p>
        </w:tc>
        <w:tc>
          <w:tcPr>
            <w:tcW w:type="dxa" w:w="1024"/>
            <w:shd w:val="clear" w:color="auto" w:fill="D9E2F3"/>
          </w:tcPr>
          <w:p>
            <w:pPr>
              <w:spacing w:after="0"/>
            </w:pPr>
            <w:r>
              <w:rPr>
                <w:b/>
                <w:sz w:val="17"/>
              </w:rPr>
              <w:t>Reported to sponsor (date)</w:t>
            </w:r>
          </w:p>
        </w:tc>
        <w:tc>
          <w:tcPr>
            <w:tcW w:type="dxa" w:w="1024"/>
            <w:shd w:val="clear" w:color="auto" w:fill="D9E2F3"/>
          </w:tcPr>
          <w:p>
            <w:pPr>
              <w:spacing w:after="0"/>
            </w:pPr>
            <w:r>
              <w:rPr>
                <w:b/>
                <w:sz w:val="17"/>
              </w:rPr>
              <w:t>Reported to IRB (date or N/A)</w:t>
            </w:r>
          </w:p>
        </w:tc>
        <w:tc>
          <w:tcPr>
            <w:tcW w:type="dxa" w:w="1536"/>
            <w:shd w:val="clear" w:color="auto" w:fill="D9E2F3"/>
          </w:tcPr>
          <w:p>
            <w:pPr>
              <w:spacing w:after="0"/>
            </w:pPr>
            <w:r>
              <w:rPr>
                <w:b/>
                <w:sz w:val="17"/>
              </w:rPr>
              <w:t>Cause and CAPA number</w:t>
            </w:r>
          </w:p>
        </w:tc>
        <w:tc>
          <w:tcPr>
            <w:tcW w:type="dxa" w:w="1024"/>
            <w:shd w:val="clear" w:color="auto" w:fill="D9E2F3"/>
          </w:tcPr>
          <w:p>
            <w:pPr>
              <w:spacing w:after="0"/>
            </w:pPr>
            <w:r>
              <w:rPr>
                <w:b/>
                <w:sz w:val="17"/>
              </w:rPr>
              <w:t>PI review (initials and date)</w:t>
            </w: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r>
        <w:trPr>
          <w:cantSplit w:val="true"/>
          <w:trHeight w:val="461"/>
        </w:trPr>
        <w:tc>
          <w:tcPr>
            <w:tcW w:type="dxa" w:w="1024"/>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2048"/>
          </w:tcPr>
          <w:p>
            <w:pPr>
              <w:spacing w:after="0"/>
            </w:pPr>
          </w:p>
        </w:tc>
        <w:tc>
          <w:tcPr>
            <w:tcW w:type="dxa" w:w="1536"/>
          </w:tcPr>
          <w:p>
            <w:pPr>
              <w:spacing w:after="0"/>
            </w:pPr>
          </w:p>
        </w:tc>
        <w:tc>
          <w:tcPr>
            <w:tcW w:type="dxa" w:w="1024"/>
          </w:tcPr>
          <w:p>
            <w:pPr>
              <w:spacing w:after="0"/>
            </w:pPr>
          </w:p>
        </w:tc>
        <w:tc>
          <w:tcPr>
            <w:tcW w:type="dxa" w:w="1024"/>
          </w:tcPr>
          <w:p>
            <w:pPr>
              <w:spacing w:after="0"/>
            </w:pPr>
          </w:p>
        </w:tc>
        <w:tc>
          <w:tcPr>
            <w:tcW w:type="dxa" w:w="1536"/>
          </w:tcPr>
          <w:p>
            <w:pPr>
              <w:spacing w:after="0"/>
            </w:pPr>
          </w:p>
        </w:tc>
        <w:tc>
          <w:tcPr>
            <w:tcW w:type="dxa" w:w="1024"/>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F-308-01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F-308-01 Protocol Deviation Log</w:t>
          </w:r>
        </w:p>
      </w:tc>
      <w:tc>
        <w:tcPr>
          <w:tcW w:type="dxa" w:w="4147"/>
        </w:tcPr>
        <w:p>
          <w:pPr>
            <w:jc w:val="right"/>
          </w:pPr>
          <w:r>
            <w:rPr>
              <w:b w:val="0"/>
              <w:color w:val="404040"/>
              <w:sz w:val="17"/>
            </w:rPr>
            <w:t>Ref: SOP-08</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F-308-01 Protocol Deviation Log</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