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Temperature Monitoring Log</w:t>
      </w:r>
    </w:p>
    <w:p>
      <w:r>
        <w:rPr>
          <w:b/>
          <w:sz w:val="18"/>
        </w:rPr>
        <w:t xml:space="preserve">Purpose: </w:t>
      </w:r>
      <w:r>
        <w:rPr>
          <w:b w:val="0"/>
          <w:sz w:val="18"/>
        </w:rPr>
        <w:t>Records the daily review of temperature for one storage unit or room holding investigational product, specimens or kits.</w:t>
      </w:r>
    </w:p>
    <w:p>
      <w:pPr>
        <w:spacing w:after="0"/>
      </w:pPr>
      <w:r>
        <w:rPr>
          <w:b/>
          <w:sz w:val="18"/>
        </w:rPr>
        <w:t>Instructions</w:t>
      </w:r>
    </w:p>
    <w:p>
      <w:pPr>
        <w:pStyle w:val="ListBullet"/>
        <w:spacing w:after="0"/>
      </w:pPr>
      <w:r>
        <w:rPr>
          <w:b w:val="0"/>
          <w:sz w:val="18"/>
        </w:rPr>
        <w:t>Use one log per storage unit per month. Write the acceptable range from the label, pharmacy manual or laboratory manual in the header, and the monitoring type set in the SOP-06 5.2 Site decision.</w:t>
      </w:r>
    </w:p>
    <w:p>
      <w:pPr>
        <w:pStyle w:val="ListBullet"/>
        <w:spacing w:after="0"/>
      </w:pPr>
      <w:r>
        <w:rPr>
          <w:b w:val="0"/>
          <w:sz w:val="18"/>
        </w:rPr>
        <w:t>Continuous system with alarm (</w:t>
      </w:r>
      <w:r>
        <w:rPr>
          <w:b w:val="0"/>
          <w:sz w:val="18"/>
          <w:highlight w:val="green"/>
        </w:rPr>
        <w:t>[DEFAULT: a continuous monitoring system with alarm]</w:t>
      </w:r>
      <w:r>
        <w:rPr>
          <w:b w:val="0"/>
          <w:sz w:val="18"/>
        </w:rPr>
        <w:t>): the IP Manager or delegate reviews the record each business day and signs the system's daily report or records the review here (SOP-06 5.2.2).</w:t>
      </w:r>
    </w:p>
    <w:p>
      <w:pPr>
        <w:pStyle w:val="ListBullet"/>
        <w:spacing w:after="0"/>
      </w:pPr>
      <w:r>
        <w:rPr>
          <w:b w:val="0"/>
          <w:sz w:val="18"/>
        </w:rPr>
        <w:t>Min/max location: record current, minimum and maximum readings each business day and reset the device. Read it on reopening; the first entry after a closure covers the whole period since the last review (SOP-06 5.2.2, 5.2.3).</w:t>
      </w:r>
    </w:p>
    <w:p>
      <w:pPr>
        <w:pStyle w:val="ListBullet"/>
        <w:spacing w:after="0"/>
      </w:pPr>
      <w:r>
        <w:rPr>
          <w:b w:val="0"/>
          <w:sz w:val="18"/>
        </w:rPr>
        <w:t>A gap in the record, or a device past its calibration date, is a possible excursion until you show the items stayed in range (SOP-06 5.2.4, 5.2.5). Any out-of-range reading: quarantine IP and complete F-304-03 at once; for specimens follow SOP-11 5.2.6. Write the excursion number in the Action column.</w:t>
      </w:r>
    </w:p>
    <w:p>
      <w:pPr>
        <w:pStyle w:val="ListBullet"/>
        <w:spacing w:after="0"/>
      </w:pPr>
      <w:r>
        <w:rPr>
          <w:b w:val="0"/>
          <w:sz w:val="18"/>
        </w:rPr>
        <w:t>If items are moved to backup storage, record who moved them, when, what, and the temperatures before and after (SOP-16 5.3.5). During a monitoring system outage, record manual readings here (SOP-16 5.4).</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Storage unit or room</w:t>
            </w:r>
          </w:p>
        </w:tc>
        <w:tc>
          <w:tcPr>
            <w:tcW w:type="dxa" w:w="2447"/>
          </w:tcPr>
          <w:p/>
        </w:tc>
        <w:tc>
          <w:tcPr>
            <w:tcW w:type="dxa" w:w="2160"/>
            <w:shd w:val="clear" w:color="auto" w:fill="D9E2F3"/>
          </w:tcPr>
          <w:p>
            <w:pPr>
              <w:spacing w:after="0"/>
            </w:pPr>
            <w:r>
              <w:rPr>
                <w:b/>
                <w:sz w:val="17"/>
              </w:rPr>
              <w:t>Contents (IP, specimens, kits)</w:t>
            </w:r>
          </w:p>
        </w:tc>
        <w:tc>
          <w:tcPr>
            <w:tcW w:type="dxa" w:w="2447"/>
          </w:tcPr>
          <w:p/>
        </w:tc>
        <w:tc>
          <w:tcPr>
            <w:tcW w:type="dxa" w:w="2160"/>
            <w:shd w:val="clear" w:color="auto" w:fill="D9E2F3"/>
          </w:tcPr>
          <w:p>
            <w:pPr>
              <w:spacing w:after="0"/>
            </w:pPr>
            <w:r>
              <w:rPr>
                <w:b/>
                <w:sz w:val="17"/>
              </w:rPr>
              <w:t>Monitoring type (continuous with alarm / min/max)</w:t>
            </w:r>
          </w:p>
        </w:tc>
        <w:tc>
          <w:tcPr>
            <w:tcW w:type="dxa" w:w="2447"/>
          </w:tcPr>
          <w:p/>
        </w:tc>
      </w:tr>
      <w:tr>
        <w:trPr>
          <w:trHeight w:val="432"/>
        </w:trPr>
        <w:tc>
          <w:tcPr>
            <w:tcW w:type="dxa" w:w="2160"/>
            <w:shd w:val="clear" w:color="auto" w:fill="D9E2F3"/>
          </w:tcPr>
          <w:p>
            <w:pPr>
              <w:spacing w:after="0"/>
            </w:pPr>
            <w:r>
              <w:rPr>
                <w:b/>
                <w:sz w:val="17"/>
              </w:rPr>
              <w:t>Monitoring device ID</w:t>
            </w:r>
          </w:p>
        </w:tc>
        <w:tc>
          <w:tcPr>
            <w:tcW w:type="dxa" w:w="2447"/>
          </w:tcPr>
          <w:p/>
        </w:tc>
        <w:tc>
          <w:tcPr>
            <w:tcW w:type="dxa" w:w="2160"/>
            <w:shd w:val="clear" w:color="auto" w:fill="D9E2F3"/>
          </w:tcPr>
          <w:p>
            <w:pPr>
              <w:spacing w:after="0"/>
            </w:pPr>
            <w:r>
              <w:rPr>
                <w:b/>
                <w:sz w:val="17"/>
              </w:rPr>
              <w:t>Device calibration due</w:t>
            </w:r>
          </w:p>
        </w:tc>
        <w:tc>
          <w:tcPr>
            <w:tcW w:type="dxa" w:w="2447"/>
          </w:tcPr>
          <w:p/>
        </w:tc>
        <w:tc>
          <w:tcPr>
            <w:tcW w:type="dxa" w:w="2160"/>
            <w:shd w:val="clear" w:color="auto" w:fill="D9E2F3"/>
          </w:tcPr>
          <w:p>
            <w:pPr>
              <w:spacing w:after="0"/>
            </w:pPr>
            <w:r>
              <w:rPr>
                <w:b/>
                <w:sz w:val="17"/>
              </w:rPr>
              <w:t>Acceptable range (°C)</w:t>
            </w:r>
          </w:p>
        </w:tc>
        <w:tc>
          <w:tcPr>
            <w:tcW w:type="dxa" w:w="2447"/>
          </w:tcPr>
          <w:p/>
        </w:tc>
      </w:tr>
      <w:tr>
        <w:trPr>
          <w:trHeight w:val="432"/>
        </w:trPr>
        <w:tc>
          <w:tcPr>
            <w:tcW w:type="dxa" w:w="2160"/>
            <w:shd w:val="clear" w:color="auto" w:fill="D9E2F3"/>
          </w:tcPr>
          <w:p>
            <w:pPr>
              <w:spacing w:after="0"/>
            </w:pPr>
            <w:r>
              <w:rPr>
                <w:b/>
                <w:sz w:val="17"/>
              </w:rPr>
              <w:t>Month and year</w:t>
            </w:r>
          </w:p>
        </w:tc>
        <w:tc>
          <w:tcPr>
            <w:tcW w:type="dxa" w:w="2447"/>
          </w:tcPr>
          <w:p/>
        </w:tc>
        <w:tc>
          <w:tcPr>
            <w:tcW w:type="dxa" w:w="2160"/>
          </w:tcPr>
          <w:p/>
        </w:tc>
        <w:tc>
          <w:tcPr>
            <w:tcW w:type="dxa" w:w="2447"/>
          </w:tcPr>
          <w:p/>
        </w:tc>
        <w:tc>
          <w:tcPr>
            <w:tcW w:type="dxa" w:w="2160"/>
          </w:tcP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1256"/>
        <w:gridCol w:w="1256"/>
        <w:gridCol w:w="1256"/>
        <w:gridCol w:w="1256"/>
        <w:gridCol w:w="1256"/>
        <w:gridCol w:w="1256"/>
        <w:gridCol w:w="1256"/>
        <w:gridCol w:w="3770"/>
        <w:gridCol w:w="1256"/>
      </w:tblGrid>
      <w:tr>
        <w:trPr>
          <w:tblHeader w:val="true"/>
        </w:trPr>
        <w:tc>
          <w:tcPr>
            <w:tcW w:type="dxa" w:w="1256"/>
            <w:shd w:val="clear" w:color="auto" w:fill="D9E2F3"/>
          </w:tcPr>
          <w:p>
            <w:pPr>
              <w:spacing w:after="0"/>
            </w:pPr>
            <w:r>
              <w:rPr>
                <w:b/>
                <w:sz w:val="17"/>
              </w:rPr>
              <w:t>Date</w:t>
            </w:r>
          </w:p>
        </w:tc>
        <w:tc>
          <w:tcPr>
            <w:tcW w:type="dxa" w:w="1256"/>
            <w:shd w:val="clear" w:color="auto" w:fill="D9E2F3"/>
          </w:tcPr>
          <w:p>
            <w:pPr>
              <w:spacing w:after="0"/>
            </w:pPr>
            <w:r>
              <w:rPr>
                <w:b/>
                <w:sz w:val="17"/>
              </w:rPr>
              <w:t>Time</w:t>
            </w:r>
          </w:p>
        </w:tc>
        <w:tc>
          <w:tcPr>
            <w:tcW w:type="dxa" w:w="1256"/>
            <w:shd w:val="clear" w:color="auto" w:fill="D9E2F3"/>
          </w:tcPr>
          <w:p>
            <w:pPr>
              <w:spacing w:after="0"/>
            </w:pPr>
            <w:r>
              <w:rPr>
                <w:b/>
                <w:sz w:val="17"/>
              </w:rPr>
              <w:t>Current (°C)</w:t>
            </w:r>
          </w:p>
        </w:tc>
        <w:tc>
          <w:tcPr>
            <w:tcW w:type="dxa" w:w="1256"/>
            <w:shd w:val="clear" w:color="auto" w:fill="D9E2F3"/>
          </w:tcPr>
          <w:p>
            <w:pPr>
              <w:spacing w:after="0"/>
            </w:pPr>
            <w:r>
              <w:rPr>
                <w:b/>
                <w:sz w:val="17"/>
              </w:rPr>
              <w:t>Min (°C)</w:t>
            </w:r>
          </w:p>
        </w:tc>
        <w:tc>
          <w:tcPr>
            <w:tcW w:type="dxa" w:w="1256"/>
            <w:shd w:val="clear" w:color="auto" w:fill="D9E2F3"/>
          </w:tcPr>
          <w:p>
            <w:pPr>
              <w:spacing w:after="0"/>
            </w:pPr>
            <w:r>
              <w:rPr>
                <w:b/>
                <w:sz w:val="17"/>
              </w:rPr>
              <w:t>Max (°C)</w:t>
            </w:r>
          </w:p>
        </w:tc>
        <w:tc>
          <w:tcPr>
            <w:tcW w:type="dxa" w:w="1256"/>
            <w:shd w:val="clear" w:color="auto" w:fill="D9E2F3"/>
          </w:tcPr>
          <w:p>
            <w:pPr>
              <w:spacing w:after="0"/>
            </w:pPr>
            <w:r>
              <w:rPr>
                <w:b/>
                <w:sz w:val="17"/>
              </w:rPr>
              <w:t>Within range (Y/N)</w:t>
            </w:r>
          </w:p>
        </w:tc>
        <w:tc>
          <w:tcPr>
            <w:tcW w:type="dxa" w:w="1256"/>
            <w:shd w:val="clear" w:color="auto" w:fill="D9E2F3"/>
          </w:tcPr>
          <w:p>
            <w:pPr>
              <w:spacing w:after="0"/>
            </w:pPr>
            <w:r>
              <w:rPr>
                <w:b/>
                <w:sz w:val="17"/>
              </w:rPr>
              <w:t>Min/max reset (Y/N)</w:t>
            </w:r>
          </w:p>
        </w:tc>
        <w:tc>
          <w:tcPr>
            <w:tcW w:type="dxa" w:w="3770"/>
            <w:shd w:val="clear" w:color="auto" w:fill="D9E2F3"/>
          </w:tcPr>
          <w:p>
            <w:pPr>
              <w:spacing w:after="0"/>
            </w:pPr>
            <w:r>
              <w:rPr>
                <w:b/>
                <w:sz w:val="17"/>
              </w:rPr>
              <w:t>Action taken, items moved or excursion number</w:t>
            </w:r>
          </w:p>
        </w:tc>
        <w:tc>
          <w:tcPr>
            <w:tcW w:type="dxa" w:w="1256"/>
            <w:shd w:val="clear" w:color="auto" w:fill="D9E2F3"/>
          </w:tcPr>
          <w:p>
            <w:pPr>
              <w:spacing w:after="0"/>
            </w:pPr>
            <w:r>
              <w:rPr>
                <w:b/>
                <w:sz w:val="17"/>
              </w:rPr>
              <w:t>Reviewed by (initials)</w:t>
            </w: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r>
        <w:trPr>
          <w:cantSplit w:val="true"/>
          <w:trHeight w:val="461"/>
        </w:trPr>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3770"/>
          </w:tcPr>
          <w:p>
            <w:pPr>
              <w:spacing w:after="0"/>
            </w:pPr>
          </w:p>
        </w:tc>
        <w:tc>
          <w:tcPr>
            <w:tcW w:type="dxa" w:w="1256"/>
          </w:tcPr>
          <w:p>
            <w:pPr>
              <w:spacing w:after="0"/>
            </w:pPr>
          </w:p>
        </w:tc>
      </w:tr>
    </w:tbl>
    <w:p>
      <w:pPr>
        <w:spacing w:after="40"/>
      </w:pPr>
    </w:p>
    <w:tbl>
      <w:tblPr>
        <w:tblStyle w:val="TableGrid"/>
        <w:tblW w:type="auto" w:w="0"/>
        <w:jc w:val="left"/>
        <w:tblLayout w:type="fixed"/>
        <w:tblLook w:firstColumn="1" w:firstRow="1" w:lastColumn="0" w:lastRow="0" w:noHBand="0" w:noVBand="1" w:val="04A0"/>
      </w:tblPr>
      <w:tblGrid>
        <w:gridCol w:w="3870"/>
        <w:gridCol w:w="3594"/>
        <w:gridCol w:w="4147"/>
        <w:gridCol w:w="2211"/>
      </w:tblGrid>
      <w:tr>
        <w:trPr>
          <w:tblHeader w:val="true"/>
        </w:trPr>
        <w:tc>
          <w:tcPr>
            <w:tcW w:type="dxa" w:w="3870"/>
            <w:shd w:val="clear" w:color="auto" w:fill="D9E2F3"/>
          </w:tcPr>
          <w:p>
            <w:pPr>
              <w:keepNext/>
              <w:spacing w:after="0"/>
            </w:pPr>
            <w:r>
              <w:rPr>
                <w:b/>
                <w:sz w:val="17"/>
              </w:rPr>
              <w:t>Role</w:t>
            </w:r>
          </w:p>
        </w:tc>
        <w:tc>
          <w:tcPr>
            <w:tcW w:type="dxa" w:w="3594"/>
            <w:shd w:val="clear" w:color="auto" w:fill="D9E2F3"/>
          </w:tcPr>
          <w:p>
            <w:pPr>
              <w:keepNext/>
              <w:spacing w:after="0"/>
            </w:pPr>
            <w:r>
              <w:rPr>
                <w:b/>
                <w:sz w:val="17"/>
              </w:rPr>
              <w:t>Printed Name</w:t>
            </w:r>
          </w:p>
        </w:tc>
        <w:tc>
          <w:tcPr>
            <w:tcW w:type="dxa" w:w="4147"/>
            <w:shd w:val="clear" w:color="auto" w:fill="D9E2F3"/>
          </w:tcPr>
          <w:p>
            <w:pPr>
              <w:keepNext/>
              <w:spacing w:after="0"/>
            </w:pPr>
            <w:r>
              <w:rPr>
                <w:b/>
                <w:sz w:val="17"/>
              </w:rPr>
              <w:t>Signature</w:t>
            </w:r>
          </w:p>
        </w:tc>
        <w:tc>
          <w:tcPr>
            <w:tcW w:type="dxa" w:w="2211"/>
            <w:shd w:val="clear" w:color="auto" w:fill="D9E2F3"/>
          </w:tcPr>
          <w:p>
            <w:pPr>
              <w:keepNext/>
              <w:spacing w:after="0"/>
            </w:pPr>
            <w:r>
              <w:rPr>
                <w:b/>
                <w:sz w:val="17"/>
              </w:rPr>
              <w:t>Date</w:t>
            </w:r>
          </w:p>
        </w:tc>
      </w:tr>
      <w:tr>
        <w:trPr>
          <w:cantSplit w:val="true"/>
          <w:trHeight w:val="547"/>
        </w:trPr>
        <w:tc>
          <w:tcPr>
            <w:tcW w:type="dxa" w:w="3870"/>
          </w:tcPr>
          <w:p>
            <w:pPr>
              <w:spacing w:after="0"/>
            </w:pPr>
            <w:r>
              <w:rPr>
                <w:b w:val="0"/>
                <w:sz w:val="17"/>
              </w:rPr>
              <w:t>IP Manager (page complete and filed)</w:t>
            </w:r>
          </w:p>
        </w:tc>
        <w:tc>
          <w:tcPr>
            <w:tcW w:type="dxa" w:w="3594"/>
          </w:tcPr>
          <w:p>
            <w:pPr>
              <w:spacing w:after="0"/>
            </w:pPr>
          </w:p>
        </w:tc>
        <w:tc>
          <w:tcPr>
            <w:tcW w:type="dxa" w:w="4147"/>
          </w:tcPr>
          <w:p>
            <w:pPr>
              <w:spacing w:after="0"/>
            </w:pPr>
          </w:p>
        </w:tc>
        <w:tc>
          <w:tcPr>
            <w:tcW w:type="dxa" w:w="2211"/>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F-304-02 v1.0 | Eff. </w:t>
    </w:r>
    <w:r>
      <w:rPr>
        <w:b w:val="0"/>
        <w:color w:val="595959"/>
        <w:sz w:val="16"/>
        <w:highlight w:val="yellow"/>
      </w:rPr>
      <w:t>[EFFECTIVE DATE]</w:t>
    </w:r>
    <w:r>
      <w:rPr>
        <w:b w:val="0"/>
        <w:color w:val="595959"/>
        <w:sz w:val="16"/>
      </w:rPr>
      <w:t xml:space="preserve"> | Template release 2.0</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F-304-02 Temperature Monitoring Log</w:t>
          </w:r>
        </w:p>
      </w:tc>
      <w:tc>
        <w:tcPr>
          <w:tcW w:type="dxa" w:w="4147"/>
        </w:tcPr>
        <w:p>
          <w:pPr>
            <w:jc w:val="right"/>
          </w:pPr>
          <w:r>
            <w:rPr>
              <w:b w:val="0"/>
              <w:color w:val="404040"/>
              <w:sz w:val="17"/>
            </w:rPr>
            <w:t>Ref: SOP-06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F-304-02 Temperature Monitoring Log</dc:title>
  <dc:subject>Form</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