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Investigational Product Accountability Log</w:t>
      </w:r>
    </w:p>
    <w:p>
      <w:r>
        <w:rPr>
          <w:b/>
          <w:sz w:val="18"/>
        </w:rPr>
        <w:t xml:space="preserve">Purpose: </w:t>
      </w:r>
      <w:r>
        <w:rPr>
          <w:b w:val="0"/>
          <w:sz w:val="18"/>
        </w:rPr>
        <w:t>Site inventory ledger for one investigational product: every receipt, transfer, issue to a participant, quarantine, return to sponsor and destruction, with a running balance. Per-participant dispensing, returns and compliance are on F-304-04.</w:t>
      </w:r>
    </w:p>
    <w:p>
      <w:pPr>
        <w:spacing w:after="0"/>
      </w:pPr>
      <w:r>
        <w:rPr>
          <w:b/>
          <w:sz w:val="18"/>
        </w:rPr>
        <w:t>Instructions</w:t>
      </w:r>
    </w:p>
    <w:p>
      <w:pPr>
        <w:pStyle w:val="ListBullet"/>
        <w:spacing w:after="0"/>
      </w:pPr>
      <w:r>
        <w:rPr>
          <w:b w:val="0"/>
          <w:sz w:val="18"/>
        </w:rPr>
        <w:t>Use one ledger per IP (and per strength or lot where the sponsor requires), or the sponsor's logs where required. Record each transaction when it happens and update the balance on every line (SOP-06 5.8.1). Units match the sponsor's unit of count.</w:t>
      </w:r>
    </w:p>
    <w:p>
      <w:pPr>
        <w:pStyle w:val="ListBullet"/>
        <w:spacing w:after="0"/>
      </w:pPr>
      <w:r>
        <w:rPr>
          <w:b w:val="0"/>
          <w:sz w:val="18"/>
        </w:rPr>
        <w:t>Receipt: the receiver records it here after checking the shipment (SOP-06 5.3.5). Each kit issued to a participant gets one line (code D) and is deducted by kit number; visit, IRT confirmation, return and compliance go on F-304-04.</w:t>
      </w:r>
    </w:p>
    <w:p>
      <w:pPr>
        <w:pStyle w:val="ListBullet"/>
        <w:spacing w:after="0"/>
      </w:pPr>
      <w:r>
        <w:rPr>
          <w:b w:val="0"/>
          <w:sz w:val="18"/>
        </w:rPr>
        <w:t xml:space="preserve">Transfers between </w:t>
      </w:r>
      <w:r>
        <w:rPr>
          <w:b w:val="0"/>
          <w:sz w:val="18"/>
          <w:highlight w:val="yellow"/>
        </w:rPr>
        <w:t>[SITE NAME]</w:t>
      </w:r>
      <w:r>
        <w:rPr>
          <w:b w:val="0"/>
          <w:sz w:val="18"/>
        </w:rPr>
        <w:t xml:space="preserve"> locations need written sponsor authorization; both locations record date, kit, lot or serial numbers, expiry, transport, sender and receiver (SOP-06 5.11.3).</w:t>
      </w:r>
    </w:p>
    <w:p>
      <w:pPr>
        <w:pStyle w:val="ListBullet"/>
        <w:spacing w:after="0"/>
      </w:pPr>
      <w:r>
        <w:rPr>
          <w:b w:val="0"/>
          <w:sz w:val="18"/>
        </w:rPr>
        <w:t>Reconcile physical stock against this ledger, F-304-04 and IRT before each monitoring visit and before any return or destruction, check expiry dates, and record it in Part 3. Report unresolved discrepancies to the PI and sponsor (SOP-06 5.8.2, 5.8.3).</w:t>
      </w:r>
    </w:p>
    <w:p>
      <w:pPr>
        <w:pStyle w:val="ListBullet"/>
        <w:spacing w:after="0"/>
      </w:pPr>
      <w:r>
        <w:rPr>
          <w:b w:val="0"/>
          <w:sz w:val="18"/>
        </w:rPr>
        <w:t xml:space="preserve">Controlled substances: two staff count at receipt, each reconciliation and before return or destruction. One person available: that person counts and signs, and the PI or another delegated person physically re-counts and signs within </w:t>
      </w:r>
      <w:r>
        <w:rPr>
          <w:b w:val="0"/>
          <w:sz w:val="18"/>
          <w:highlight w:val="green"/>
        </w:rPr>
        <w:t>[DEFAULT: 5 business days]</w:t>
      </w:r>
      <w:r>
        <w:rPr>
          <w:b w:val="0"/>
          <w:sz w:val="18"/>
        </w:rPr>
        <w:t>. Counter is the only person with access: re-count at the next on-site visit of the monitor or independent reviewer, who observes; record the re-count date and observer name in Part 3 (SOP-06 5.9.4). Blinded studies: SOP-06 5.9.5.</w:t>
      </w:r>
    </w:p>
    <w:p>
      <w:pPr>
        <w:pStyle w:val="ListBullet"/>
        <w:spacing w:after="0"/>
      </w:pPr>
      <w:r>
        <w:rPr>
          <w:b w:val="0"/>
          <w:sz w:val="18"/>
        </w:rPr>
        <w:t>Return or destruction only on the sponsor's written authorization, recorded in Part 2 (SOP-06 5.12). Correct errors with a single line, initials, date and reason (SOP-07 5.5).</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IP name and strength</w:t>
            </w:r>
          </w:p>
        </w:tc>
        <w:tc>
          <w:tcPr>
            <w:tcW w:type="dxa" w:w="2447"/>
          </w:tcPr>
          <w:p/>
        </w:tc>
        <w:tc>
          <w:tcPr>
            <w:tcW w:type="dxa" w:w="2160"/>
            <w:shd w:val="clear" w:color="auto" w:fill="D9E2F3"/>
          </w:tcPr>
          <w:p>
            <w:pPr>
              <w:spacing w:after="0"/>
            </w:pPr>
            <w:r>
              <w:rPr>
                <w:b/>
                <w:sz w:val="17"/>
              </w:rPr>
              <w:t>Storage condition</w:t>
            </w:r>
          </w:p>
        </w:tc>
        <w:tc>
          <w:tcPr>
            <w:tcW w:type="dxa" w:w="2447"/>
          </w:tcPr>
          <w:p/>
        </w:tc>
      </w:tr>
      <w:tr>
        <w:trPr>
          <w:trHeight w:val="432"/>
        </w:trPr>
        <w:tc>
          <w:tcPr>
            <w:tcW w:type="dxa" w:w="2160"/>
            <w:shd w:val="clear" w:color="auto" w:fill="D9E2F3"/>
          </w:tcPr>
          <w:p>
            <w:pPr>
              <w:spacing w:after="0"/>
            </w:pPr>
            <w:r>
              <w:rPr>
                <w:b/>
                <w:sz w:val="17"/>
              </w:rPr>
              <w:t>Site number</w:t>
            </w:r>
          </w:p>
        </w:tc>
        <w:tc>
          <w:tcPr>
            <w:tcW w:type="dxa" w:w="2447"/>
          </w:tcPr>
          <w:p/>
        </w:tc>
        <w:tc>
          <w:tcPr>
            <w:tcW w:type="dxa" w:w="2160"/>
            <w:shd w:val="clear" w:color="auto" w:fill="D9E2F3"/>
          </w:tcPr>
          <w:p>
            <w:pPr>
              <w:spacing w:after="0"/>
            </w:pPr>
            <w:r>
              <w:rPr>
                <w:b/>
                <w:sz w:val="17"/>
              </w:rPr>
              <w:t>Unit of count</w:t>
            </w:r>
          </w:p>
        </w:tc>
        <w:tc>
          <w:tcPr>
            <w:tcW w:type="dxa" w:w="2447"/>
          </w:tcPr>
          <w:p/>
        </w:tc>
        <w:tc>
          <w:tcPr>
            <w:tcW w:type="dxa" w:w="2160"/>
            <w:shd w:val="clear" w:color="auto" w:fill="D9E2F3"/>
          </w:tcPr>
          <w:p>
            <w:pPr>
              <w:spacing w:after="0"/>
            </w:pPr>
            <w:r>
              <w:rPr>
                <w:b/>
                <w:sz w:val="17"/>
              </w:rPr>
              <w:t>Controlled substance schedule (if any)</w:t>
            </w:r>
          </w:p>
        </w:tc>
        <w:tc>
          <w:tcPr>
            <w:tcW w:type="dxa" w:w="2447"/>
          </w:tcPr>
          <w:p/>
        </w:tc>
      </w:tr>
    </w:tbl>
    <w:p>
      <w:pPr>
        <w:spacing w:after="0"/>
      </w:pPr>
    </w:p>
    <w:p>
      <w:pPr>
        <w:pStyle w:val="Heading2"/>
      </w:pPr>
      <w:r>
        <w:t>Part 1. Inventory ledger</w:t>
      </w:r>
    </w:p>
    <w:tbl>
      <w:tblPr>
        <w:tblStyle w:val="TableGrid"/>
        <w:tblW w:type="auto" w:w="0"/>
        <w:jc w:val="left"/>
        <w:tblLayout w:type="fixed"/>
        <w:tblLook w:firstColumn="1" w:firstRow="1" w:lastColumn="0" w:lastRow="0" w:noHBand="0" w:noVBand="1" w:val="04A0"/>
      </w:tblPr>
      <w:tblGrid>
        <w:gridCol w:w="1063"/>
        <w:gridCol w:w="1063"/>
        <w:gridCol w:w="2126"/>
        <w:gridCol w:w="2126"/>
        <w:gridCol w:w="1063"/>
        <w:gridCol w:w="1063"/>
        <w:gridCol w:w="1063"/>
        <w:gridCol w:w="2126"/>
        <w:gridCol w:w="1063"/>
        <w:gridCol w:w="1063"/>
      </w:tblGrid>
      <w:tr>
        <w:trPr>
          <w:tblHeader w:val="true"/>
        </w:trPr>
        <w:tc>
          <w:tcPr>
            <w:tcW w:type="dxa" w:w="1063"/>
            <w:shd w:val="clear" w:color="auto" w:fill="D9E2F3"/>
          </w:tcPr>
          <w:p>
            <w:pPr>
              <w:spacing w:after="0"/>
            </w:pPr>
            <w:r>
              <w:rPr>
                <w:b/>
                <w:sz w:val="17"/>
              </w:rPr>
              <w:t>Date</w:t>
            </w:r>
          </w:p>
        </w:tc>
        <w:tc>
          <w:tcPr>
            <w:tcW w:type="dxa" w:w="1063"/>
            <w:shd w:val="clear" w:color="auto" w:fill="D9E2F3"/>
          </w:tcPr>
          <w:p>
            <w:pPr>
              <w:spacing w:after="0"/>
            </w:pPr>
            <w:r>
              <w:rPr>
                <w:b/>
                <w:sz w:val="17"/>
              </w:rPr>
              <w:t>Code</w:t>
            </w:r>
          </w:p>
        </w:tc>
        <w:tc>
          <w:tcPr>
            <w:tcW w:type="dxa" w:w="2126"/>
            <w:shd w:val="clear" w:color="auto" w:fill="D9E2F3"/>
          </w:tcPr>
          <w:p>
            <w:pPr>
              <w:spacing w:after="0"/>
            </w:pPr>
            <w:r>
              <w:rPr>
                <w:b/>
                <w:sz w:val="17"/>
              </w:rPr>
              <w:t>Kit, unit or serial numbers</w:t>
            </w:r>
          </w:p>
        </w:tc>
        <w:tc>
          <w:tcPr>
            <w:tcW w:type="dxa" w:w="2126"/>
            <w:shd w:val="clear" w:color="auto" w:fill="D9E2F3"/>
          </w:tcPr>
          <w:p>
            <w:pPr>
              <w:spacing w:after="0"/>
            </w:pPr>
            <w:r>
              <w:rPr>
                <w:b/>
                <w:sz w:val="17"/>
              </w:rPr>
              <w:t>Lot and expiry</w:t>
            </w:r>
          </w:p>
        </w:tc>
        <w:tc>
          <w:tcPr>
            <w:tcW w:type="dxa" w:w="1063"/>
            <w:shd w:val="clear" w:color="auto" w:fill="D9E2F3"/>
          </w:tcPr>
          <w:p>
            <w:pPr>
              <w:spacing w:after="0"/>
            </w:pPr>
            <w:r>
              <w:rPr>
                <w:b/>
                <w:sz w:val="17"/>
              </w:rPr>
              <w:t>Qty in</w:t>
            </w:r>
          </w:p>
        </w:tc>
        <w:tc>
          <w:tcPr>
            <w:tcW w:type="dxa" w:w="1063"/>
            <w:shd w:val="clear" w:color="auto" w:fill="D9E2F3"/>
          </w:tcPr>
          <w:p>
            <w:pPr>
              <w:spacing w:after="0"/>
            </w:pPr>
            <w:r>
              <w:rPr>
                <w:b/>
                <w:sz w:val="17"/>
              </w:rPr>
              <w:t>Qty out</w:t>
            </w:r>
          </w:p>
        </w:tc>
        <w:tc>
          <w:tcPr>
            <w:tcW w:type="dxa" w:w="1063"/>
            <w:shd w:val="clear" w:color="auto" w:fill="D9E2F3"/>
          </w:tcPr>
          <w:p>
            <w:pPr>
              <w:spacing w:after="0"/>
            </w:pPr>
            <w:r>
              <w:rPr>
                <w:b/>
                <w:sz w:val="17"/>
              </w:rPr>
              <w:t>Balance</w:t>
            </w:r>
          </w:p>
        </w:tc>
        <w:tc>
          <w:tcPr>
            <w:tcW w:type="dxa" w:w="2126"/>
            <w:shd w:val="clear" w:color="auto" w:fill="D9E2F3"/>
          </w:tcPr>
          <w:p>
            <w:pPr>
              <w:spacing w:after="0"/>
            </w:pPr>
            <w:r>
              <w:rPr>
                <w:b/>
                <w:sz w:val="17"/>
              </w:rPr>
              <w:t>Reference (packing list, IRT, transfer, participant ID, certificate)</w:t>
            </w:r>
          </w:p>
        </w:tc>
        <w:tc>
          <w:tcPr>
            <w:tcW w:type="dxa" w:w="1063"/>
            <w:shd w:val="clear" w:color="auto" w:fill="D9E2F3"/>
          </w:tcPr>
          <w:p>
            <w:pPr>
              <w:spacing w:after="0"/>
            </w:pPr>
            <w:r>
              <w:rPr>
                <w:b/>
                <w:sz w:val="17"/>
              </w:rPr>
              <w:t>Initials</w:t>
            </w:r>
          </w:p>
        </w:tc>
        <w:tc>
          <w:tcPr>
            <w:tcW w:type="dxa" w:w="1063"/>
            <w:shd w:val="clear" w:color="auto" w:fill="D9E2F3"/>
          </w:tcPr>
          <w:p>
            <w:pPr>
              <w:spacing w:after="0"/>
            </w:pPr>
            <w:r>
              <w:rPr>
                <w:b/>
                <w:sz w:val="17"/>
              </w:rPr>
              <w:t>CS 2nd initials</w:t>
            </w: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bl>
    <w:p>
      <w:pPr>
        <w:spacing w:after="40"/>
      </w:pPr>
    </w:p>
    <w:p>
      <w:pPr>
        <w:pStyle w:val="Heading2"/>
      </w:pPr>
      <w:r>
        <w:t>Key</w:t>
      </w:r>
    </w:p>
    <w:p>
      <w:pPr>
        <w:spacing w:after="40"/>
      </w:pPr>
      <w:r>
        <w:rPr>
          <w:b w:val="0"/>
          <w:sz w:val="18"/>
        </w:rPr>
        <w:t>Codes: RC = received from sponsor. D = issued to a participant (details on F-304-04). TI = transferred in. TO = transferred out. RS = unused IP returned to sponsor. X = unused IP destroyed. Q = quarantined (no balance change; note why in Reference). E = expired (no balance change until returned or destroyed). A = adjustment after reconciliation (explain in Part 3).</w:t>
      </w:r>
    </w:p>
    <w:p>
      <w:pPr>
        <w:pStyle w:val="Heading2"/>
      </w:pPr>
      <w:r>
        <w:t>Part 2. IP leaving the site (SOP-06 5.12)</w:t>
      </w:r>
    </w:p>
    <w:tbl>
      <w:tblPr>
        <w:tblStyle w:val="TableGrid"/>
        <w:tblW w:type="auto" w:w="0"/>
        <w:jc w:val="left"/>
        <w:tblLayout w:type="fixed"/>
        <w:tblLook w:firstColumn="1" w:firstRow="1" w:lastColumn="0" w:lastRow="0" w:noHBand="0" w:noVBand="1" w:val="04A0"/>
      </w:tblPr>
      <w:tblGrid>
        <w:gridCol w:w="1063"/>
        <w:gridCol w:w="2126"/>
        <w:gridCol w:w="3190"/>
        <w:gridCol w:w="1063"/>
        <w:gridCol w:w="1063"/>
        <w:gridCol w:w="3190"/>
        <w:gridCol w:w="1063"/>
        <w:gridCol w:w="1063"/>
      </w:tblGrid>
      <w:tr>
        <w:trPr>
          <w:tblHeader w:val="true"/>
        </w:trPr>
        <w:tc>
          <w:tcPr>
            <w:tcW w:type="dxa" w:w="1063"/>
            <w:shd w:val="clear" w:color="auto" w:fill="D9E2F3"/>
          </w:tcPr>
          <w:p>
            <w:pPr>
              <w:keepNext/>
              <w:spacing w:after="0"/>
            </w:pPr>
            <w:r>
              <w:rPr>
                <w:b/>
                <w:sz w:val="17"/>
              </w:rPr>
              <w:t>Date</w:t>
            </w:r>
          </w:p>
        </w:tc>
        <w:tc>
          <w:tcPr>
            <w:tcW w:type="dxa" w:w="2126"/>
            <w:shd w:val="clear" w:color="auto" w:fill="D9E2F3"/>
          </w:tcPr>
          <w:p>
            <w:pPr>
              <w:keepNext/>
              <w:spacing w:after="0"/>
            </w:pPr>
            <w:r>
              <w:rPr>
                <w:b/>
                <w:sz w:val="17"/>
              </w:rPr>
              <w:t>Return to sponsor or destruction</w:t>
            </w:r>
          </w:p>
        </w:tc>
        <w:tc>
          <w:tcPr>
            <w:tcW w:type="dxa" w:w="3190"/>
            <w:shd w:val="clear" w:color="auto" w:fill="D9E2F3"/>
          </w:tcPr>
          <w:p>
            <w:pPr>
              <w:keepNext/>
              <w:spacing w:after="0"/>
            </w:pPr>
            <w:r>
              <w:rPr>
                <w:b/>
                <w:sz w:val="17"/>
              </w:rPr>
              <w:t>Kit or unit numbers</w:t>
            </w:r>
          </w:p>
        </w:tc>
        <w:tc>
          <w:tcPr>
            <w:tcW w:type="dxa" w:w="1063"/>
            <w:shd w:val="clear" w:color="auto" w:fill="D9E2F3"/>
          </w:tcPr>
          <w:p>
            <w:pPr>
              <w:keepNext/>
              <w:spacing w:after="0"/>
            </w:pPr>
            <w:r>
              <w:rPr>
                <w:b/>
                <w:sz w:val="17"/>
              </w:rPr>
              <w:t>Unused qty</w:t>
            </w:r>
          </w:p>
        </w:tc>
        <w:tc>
          <w:tcPr>
            <w:tcW w:type="dxa" w:w="1063"/>
            <w:shd w:val="clear" w:color="auto" w:fill="D9E2F3"/>
          </w:tcPr>
          <w:p>
            <w:pPr>
              <w:keepNext/>
              <w:spacing w:after="0"/>
            </w:pPr>
            <w:r>
              <w:rPr>
                <w:b/>
                <w:sz w:val="17"/>
              </w:rPr>
              <w:t>Used or returned by participant (qty)</w:t>
            </w:r>
          </w:p>
        </w:tc>
        <w:tc>
          <w:tcPr>
            <w:tcW w:type="dxa" w:w="3190"/>
            <w:shd w:val="clear" w:color="auto" w:fill="D9E2F3"/>
          </w:tcPr>
          <w:p>
            <w:pPr>
              <w:keepNext/>
              <w:spacing w:after="0"/>
            </w:pPr>
            <w:r>
              <w:rPr>
                <w:b/>
                <w:sz w:val="17"/>
              </w:rPr>
              <w:t>Sponsor authorization; shipment or certificate reference</w:t>
            </w:r>
          </w:p>
        </w:tc>
        <w:tc>
          <w:tcPr>
            <w:tcW w:type="dxa" w:w="1063"/>
            <w:shd w:val="clear" w:color="auto" w:fill="D9E2F3"/>
          </w:tcPr>
          <w:p>
            <w:pPr>
              <w:keepNext/>
              <w:spacing w:after="0"/>
            </w:pPr>
            <w:r>
              <w:rPr>
                <w:b/>
                <w:sz w:val="17"/>
              </w:rPr>
              <w:t>By</w:t>
            </w:r>
          </w:p>
        </w:tc>
        <w:tc>
          <w:tcPr>
            <w:tcW w:type="dxa" w:w="1063"/>
            <w:shd w:val="clear" w:color="auto" w:fill="D9E2F3"/>
          </w:tcPr>
          <w:p>
            <w:pPr>
              <w:keepNext/>
              <w:spacing w:after="0"/>
            </w:pPr>
            <w:r>
              <w:rPr>
                <w:b/>
                <w:sz w:val="17"/>
              </w:rPr>
              <w:t>CS 2nd person</w:t>
            </w:r>
          </w:p>
        </w:tc>
      </w:tr>
      <w:tr>
        <w:trPr>
          <w:cantSplit w:val="true"/>
          <w:trHeight w:val="461"/>
        </w:trPr>
        <w:tc>
          <w:tcPr>
            <w:tcW w:type="dxa" w:w="1063"/>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c>
          <w:tcPr>
            <w:tcW w:type="dxa" w:w="3190"/>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063"/>
          </w:tcPr>
          <w:p>
            <w:pPr>
              <w:spacing w:after="0"/>
            </w:pPr>
          </w:p>
        </w:tc>
      </w:tr>
    </w:tbl>
    <w:p>
      <w:pPr>
        <w:spacing w:after="40"/>
      </w:pPr>
    </w:p>
    <w:p>
      <w:pPr>
        <w:pStyle w:val="Heading2"/>
      </w:pPr>
      <w:r>
        <w:t>Part 3. Reconciliation</w:t>
      </w:r>
    </w:p>
    <w:tbl>
      <w:tblPr>
        <w:tblStyle w:val="TableGrid"/>
        <w:tblW w:type="auto" w:w="0"/>
        <w:jc w:val="left"/>
        <w:tblLayout w:type="fixed"/>
        <w:tblLook w:firstColumn="1" w:firstRow="1" w:lastColumn="0" w:lastRow="0" w:noHBand="0" w:noVBand="1" w:val="04A0"/>
      </w:tblPr>
      <w:tblGrid>
        <w:gridCol w:w="1152"/>
        <w:gridCol w:w="2304"/>
        <w:gridCol w:w="1152"/>
        <w:gridCol w:w="1152"/>
        <w:gridCol w:w="1152"/>
        <w:gridCol w:w="1152"/>
        <w:gridCol w:w="2304"/>
        <w:gridCol w:w="1152"/>
        <w:gridCol w:w="1152"/>
        <w:gridCol w:w="1152"/>
      </w:tblGrid>
      <w:tr>
        <w:trPr>
          <w:tblHeader w:val="true"/>
        </w:trPr>
        <w:tc>
          <w:tcPr>
            <w:tcW w:type="dxa" w:w="1152"/>
            <w:shd w:val="clear" w:color="auto" w:fill="D9E2F3"/>
          </w:tcPr>
          <w:p>
            <w:pPr>
              <w:spacing w:after="0"/>
            </w:pPr>
            <w:r>
              <w:rPr>
                <w:b/>
                <w:sz w:val="17"/>
              </w:rPr>
              <w:t>Date</w:t>
            </w:r>
          </w:p>
        </w:tc>
        <w:tc>
          <w:tcPr>
            <w:tcW w:type="dxa" w:w="2304"/>
            <w:shd w:val="clear" w:color="auto" w:fill="D9E2F3"/>
          </w:tcPr>
          <w:p>
            <w:pPr>
              <w:spacing w:after="0"/>
            </w:pPr>
            <w:r>
              <w:rPr>
                <w:b/>
                <w:sz w:val="17"/>
              </w:rPr>
              <w:t>Reason (pre-monitoring visit, return or destruction, closeout)</w:t>
            </w:r>
          </w:p>
        </w:tc>
        <w:tc>
          <w:tcPr>
            <w:tcW w:type="dxa" w:w="1152"/>
            <w:shd w:val="clear" w:color="auto" w:fill="D9E2F3"/>
          </w:tcPr>
          <w:p>
            <w:pPr>
              <w:spacing w:after="0"/>
            </w:pPr>
            <w:r>
              <w:rPr>
                <w:b/>
                <w:sz w:val="17"/>
              </w:rPr>
              <w:t>Physical count</w:t>
            </w:r>
          </w:p>
        </w:tc>
        <w:tc>
          <w:tcPr>
            <w:tcW w:type="dxa" w:w="1152"/>
            <w:shd w:val="clear" w:color="auto" w:fill="D9E2F3"/>
          </w:tcPr>
          <w:p>
            <w:pPr>
              <w:spacing w:after="0"/>
            </w:pPr>
            <w:r>
              <w:rPr>
                <w:b/>
                <w:sz w:val="17"/>
              </w:rPr>
              <w:t>Ledger balance</w:t>
            </w:r>
          </w:p>
        </w:tc>
        <w:tc>
          <w:tcPr>
            <w:tcW w:type="dxa" w:w="1152"/>
            <w:shd w:val="clear" w:color="auto" w:fill="D9E2F3"/>
          </w:tcPr>
          <w:p>
            <w:pPr>
              <w:spacing w:after="0"/>
            </w:pPr>
            <w:r>
              <w:rPr>
                <w:b/>
                <w:sz w:val="17"/>
              </w:rPr>
              <w:t>IRT count</w:t>
            </w:r>
          </w:p>
        </w:tc>
        <w:tc>
          <w:tcPr>
            <w:tcW w:type="dxa" w:w="1152"/>
            <w:shd w:val="clear" w:color="auto" w:fill="D9E2F3"/>
          </w:tcPr>
          <w:p>
            <w:pPr>
              <w:spacing w:after="0"/>
            </w:pPr>
            <w:r>
              <w:rPr>
                <w:b/>
                <w:sz w:val="17"/>
              </w:rPr>
              <w:t>F-304-04 checked; expiry checked (Y/N)</w:t>
            </w:r>
          </w:p>
        </w:tc>
        <w:tc>
          <w:tcPr>
            <w:tcW w:type="dxa" w:w="2304"/>
            <w:shd w:val="clear" w:color="auto" w:fill="D9E2F3"/>
          </w:tcPr>
          <w:p>
            <w:pPr>
              <w:spacing w:after="0"/>
            </w:pPr>
            <w:r>
              <w:rPr>
                <w:b/>
                <w:sz w:val="17"/>
              </w:rPr>
              <w:t>Discrepancy and explanation</w:t>
            </w:r>
          </w:p>
        </w:tc>
        <w:tc>
          <w:tcPr>
            <w:tcW w:type="dxa" w:w="1152"/>
            <w:shd w:val="clear" w:color="auto" w:fill="D9E2F3"/>
          </w:tcPr>
          <w:p>
            <w:pPr>
              <w:spacing w:after="0"/>
            </w:pPr>
            <w:r>
              <w:rPr>
                <w:b/>
                <w:sz w:val="17"/>
              </w:rPr>
              <w:t>By</w:t>
            </w:r>
          </w:p>
        </w:tc>
        <w:tc>
          <w:tcPr>
            <w:tcW w:type="dxa" w:w="1152"/>
            <w:shd w:val="clear" w:color="auto" w:fill="D9E2F3"/>
          </w:tcPr>
          <w:p>
            <w:pPr>
              <w:spacing w:after="0"/>
            </w:pPr>
            <w:r>
              <w:rPr>
                <w:b/>
                <w:sz w:val="17"/>
              </w:rPr>
              <w:t>CS 2nd person or re-count date</w:t>
            </w:r>
          </w:p>
        </w:tc>
        <w:tc>
          <w:tcPr>
            <w:tcW w:type="dxa" w:w="1152"/>
            <w:shd w:val="clear" w:color="auto" w:fill="D9E2F3"/>
          </w:tcPr>
          <w:p>
            <w:pPr>
              <w:spacing w:after="0"/>
            </w:pPr>
            <w:r>
              <w:rPr>
                <w:b/>
                <w:sz w:val="17"/>
              </w:rPr>
              <w:t>CS re-count observer name</w:t>
            </w: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IP Manager (final reconciliation, SOP-15 5.4.1)</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Second person (controlled substances)</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F-304-01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F-304-01 Investigational Product Accountability Log</w:t>
          </w:r>
        </w:p>
      </w:tc>
      <w:tc>
        <w:tcPr>
          <w:tcW w:type="dxa" w:w="4147"/>
        </w:tcPr>
        <w:p>
          <w:pPr>
            <w:jc w:val="right"/>
          </w:pPr>
          <w:r>
            <w:rPr>
              <w:b w:val="0"/>
              <w:color w:val="404040"/>
              <w:sz w:val="17"/>
            </w:rPr>
            <w:t>Ref: SOP-06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F-304-01 Investigational Product Accountability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