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Study Activation Checklist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the IRB of record and the study's IRB requirements profile, and confirms that regulatory, contract, training, product and operational requirements are complete before the first participant is consented.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Regulatory Coordinator keeps this checklist through start-up. Enter the date each item is done and the record location in the Comment column, or mark N/A with the reason (SOP-03 5.10.1).</w:t>
      </w:r>
    </w:p>
    <w:p>
      <w:pPr>
        <w:pStyle w:val="ListBullet"/>
        <w:spacing w:after="0"/>
      </w:pPr>
      <w:r>
        <w:rPr>
          <w:b w:val="0"/>
          <w:sz w:val="18"/>
        </w:rPr>
        <w:t>The IRB requirements profile answers every "as the IRB requires" in the SOPs for this study (SOP-03 5.1.3).</w:t>
      </w:r>
    </w:p>
    <w:p>
      <w:pPr>
        <w:pStyle w:val="ListBullet"/>
        <w:spacing w:after="0"/>
      </w:pPr>
      <w:r>
        <w:rPr>
          <w:b w:val="0"/>
          <w:sz w:val="18"/>
        </w:rPr>
        <w:t>The Lead CRC and Regulatory Coordinator review the checklist. For the first study of a new PI, the Quality Lead checks it before approval (the Site Director checks it where the Quality Lead prepared it). The PI and Site Director sign (SOP-03 5.10.2).</w:t>
      </w:r>
    </w:p>
    <w:p>
      <w:pPr>
        <w:pStyle w:val="ListBullet"/>
        <w:spacing w:after="0"/>
      </w:pPr>
      <w:r>
        <w:rPr>
          <w:b w:val="0"/>
          <w:sz w:val="18"/>
        </w:rPr>
        <w:t>No one consents, performs a study procedure, randomizes or dispenses IP until this checklist is approved and the sponsor's written activation is received (SOP-03 5.10.3).</w:t>
      </w:r>
    </w:p>
    <w:p>
      <w:pPr>
        <w:pStyle w:val="ListBullet"/>
        <w:spacing w:after="0"/>
      </w:pPr>
      <w:r>
        <w:rPr>
          <w:b w:val="0"/>
          <w:sz w:val="18"/>
        </w:rPr>
        <w:t>For a new PI, location or laboratory after activation, use a new checklist limited to the changed items (SOP-03 5.10.4). File the signed checklist in the ISF.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Scope (initial activation, or change: new PI, location, laboratory)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IRB requirements profile (SOP-03 5.1)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of record (Site Director approval if not the sponsor's central IRB)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Local review, reliance agreement and local requirements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Reportable-event categories and windows (details on F-502-01 IRB page)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Personnel and location changes: what the IRB requires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Deviations: what the IRB requires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Continuing review and closure requirements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portal accounts and who may submit for each investigator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Regulatory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16"/>
        <w:gridCol w:w="720"/>
        <w:gridCol w:w="720"/>
        <w:gridCol w:w="2592"/>
      </w:tblGrid>
      <w:tr>
        <w:trPr>
          <w:tblHeader w:val="true"/>
        </w:trPr>
        <w:tc>
          <w:tcPr>
            <w:tcW w:type="dxa" w:w="561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done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IRB approval of protocol, consent, recruitment and participant materials; approval details checked (SOP-03 5.2.5)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Signed 1572 or device investigator agreement, financial disclosures, protocol signature page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CVs, licenses, GCP and debarment screening for all delegated staff (SOP-01)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F-302-01 signed by the PI; initiation and protocol training recorded (F-103-01)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Covering investigator named and listed for the study (SOP-16 5.6.2)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Laboratory certificates and normal ranges filed (SOP-11)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 xml:space="preserve">Controlled-substance IP: DEA and </w:t>
            </w:r>
            <w:r>
              <w:rPr>
                <w:b w:val="0"/>
                <w:sz w:val="17"/>
                <w:highlight w:val="yellow"/>
              </w:rPr>
              <w:t>[STATE]</w:t>
            </w:r>
            <w:r>
              <w:rPr>
                <w:b w:val="0"/>
                <w:sz w:val="17"/>
              </w:rPr>
              <w:t xml:space="preserve"> registrations for each storage address confirmed by the PI (SOP-06 5.9.1)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ISF and F-204-01 current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Contracts and finance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16"/>
        <w:gridCol w:w="720"/>
        <w:gridCol w:w="720"/>
        <w:gridCol w:w="2592"/>
      </w:tblGrid>
      <w:tr>
        <w:trPr>
          <w:tblHeader w:val="true"/>
        </w:trPr>
        <w:tc>
          <w:tcPr>
            <w:tcW w:type="dxa" w:w="56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done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CTA and budget executed (SOP-M2 5.7.3, if adopted)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Participant payment process set up with the IRB-approved schedule (SOP-10)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Research billing (SOP-03 5.10.5)</w:t>
      </w:r>
    </w:p>
    <w:p>
      <w:pPr>
        <w:spacing w:after="40"/>
      </w:pPr>
      <w:r>
        <w:rPr>
          <w:b w:val="0"/>
          <w:sz w:val="18"/>
        </w:rPr>
        <w:t>Complete one option (SOP-03 5.10.5). Option 2 is available only if SOP-M2 is adopted; otherwise use the no-billing attestation.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Option 1, no-billing attestation: no insurer or participant is billed for any protocol item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Option 1: the budget covers every protocol item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Option 1: the consent form implies no cost to the participant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Option 2: coverage analysis approved on F-202-01 and matching the budget, CTA and consent form (SOP-M2 5.9.5)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 xml:space="preserve">Site also bills clinical care: enrolled participants flagged in </w:t>
            </w:r>
            <w:r>
              <w:rPr>
                <w:b w:val="0"/>
                <w:sz w:val="17"/>
                <w:highlight w:val="yellow"/>
              </w:rPr>
              <w:t>[PRACTICE MANAGEMENT SYSTEM]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Finance / Contracts Lead (name, signature, 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No-claim checks (sites that also bill clinical care; before each sponsor invoice and at closeout)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4"/>
        <w:gridCol w:w="1929"/>
        <w:gridCol w:w="1929"/>
        <w:gridCol w:w="3859"/>
        <w:gridCol w:w="964"/>
      </w:tblGrid>
      <w:tr>
        <w:trPr>
          <w:tblHeader w:val="true"/>
        </w:trPr>
        <w:tc>
          <w:tcPr>
            <w:tcW w:type="dxa" w:w="9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Check date</w:t>
            </w:r>
          </w:p>
        </w:tc>
        <w:tc>
          <w:tcPr>
            <w:tcW w:type="dxa" w:w="1929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Before sponsor invoice or closeout</w:t>
            </w:r>
          </w:p>
        </w:tc>
        <w:tc>
          <w:tcPr>
            <w:tcW w:type="dxa" w:w="1929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Claims found for study items (Y/N)</w:t>
            </w:r>
          </w:p>
        </w:tc>
        <w:tc>
          <w:tcPr>
            <w:tcW w:type="dxa" w:w="3859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Action taken if Yes (SOP-08; SOP-M2 5.9.11 if adopted)</w:t>
            </w:r>
          </w:p>
        </w:tc>
        <w:tc>
          <w:tcPr>
            <w:tcW w:type="dxa" w:w="9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Initials</w:t>
            </w: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385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385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385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385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385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385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385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385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Operations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16"/>
        <w:gridCol w:w="720"/>
        <w:gridCol w:w="720"/>
        <w:gridCol w:w="2592"/>
      </w:tblGrid>
      <w:tr>
        <w:trPr>
          <w:tblHeader w:val="true"/>
        </w:trPr>
        <w:tc>
          <w:tcPr>
            <w:tcW w:type="dxa" w:w="561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done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IP received, stored and released, logs started (F-304-01, F-304-02, F-304-04); or shipping trigger and lead time documented, with receipt before first dose (SOP-06)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Supplies in date and equipment calibrated (F-312-01)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System access active for every delegated user, own credentials (F-401-01)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Source Data Location List signed and worksheets ready (SOP-07 5.2)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Blinded studies: unblinding procedure available, blinded and unblinded roles with backups, records and IP areas separated (SOP-05)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AE, SAE and pregnancy trackers opened (F-500-01, F-501-01, F-503-01)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Study QC plan recorded on F-700-01 (SOP-14 5.2.1)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Retention plan filed (SOP-10 5.1.1)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Record retention period recorded (SOP-12 5.9)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Recruitment materials ready (SOP-M3 and F-300-02, if adopted)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Activation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written activation received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Quality Lead (or Site Director) check, first study of a new PI (date)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Comments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Regulatory Coordinator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Lead CRC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Principal Investigator (approves activation)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Site Director (co-approves activation)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F-205-01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F-205-01 Study Activation Checklist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SOP-03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F-205-01 Study Activation Checklist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