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Investigator Site File Index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Lists the essential records expected in the Investigator Site File for one study, shows where each is kept, names the controlling version of each study log, and records ISF checks.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Regulatory Coordinator sets up the index before the qualification visit or, at the latest, the initiation visit, records the ISF format, and for a hybrid file which copy is the original (SOP-03 5.6.1). A sponsor index may be used if mapped to this one.</w:t>
      </w:r>
    </w:p>
    <w:p>
      <w:pPr>
        <w:pStyle w:val="ListBullet"/>
        <w:spacing w:after="0"/>
      </w:pPr>
      <w:r>
        <w:rPr>
          <w:b w:val="0"/>
          <w:sz w:val="18"/>
        </w:rPr>
        <w:t>Mark each record Filed (paper ISF), eISF, or N/A. Records kept outside the ISF go in the record location map (SOP-03 5.6.4).</w:t>
      </w:r>
    </w:p>
    <w:p>
      <w:pPr>
        <w:pStyle w:val="ListBullet"/>
        <w:spacing w:after="0"/>
      </w:pPr>
      <w:r>
        <w:rPr>
          <w:b w:val="0"/>
          <w:sz w:val="18"/>
        </w:rPr>
        <w:t>Name one controlling log for each study log, the site's or the sponsor's, and mark the unused site form "superseded by sponsor log" (SOP-03 5.6.2).</w:t>
      </w:r>
    </w:p>
    <w:p>
      <w:pPr>
        <w:pStyle w:val="ListBullet"/>
        <w:spacing w:after="0"/>
      </w:pPr>
      <w:r>
        <w:rPr>
          <w:b w:val="0"/>
          <w:sz w:val="18"/>
        </w:rPr>
        <w:t xml:space="preserve">File new records within </w:t>
      </w:r>
      <w:r>
        <w:rPr>
          <w:b w:val="0"/>
          <w:sz w:val="18"/>
          <w:highlight w:val="green"/>
        </w:rPr>
        <w:t>[DEFAULT: 10 business days]</w:t>
      </w:r>
      <w:r>
        <w:rPr>
          <w:b w:val="0"/>
          <w:sz w:val="18"/>
        </w:rPr>
        <w:t xml:space="preserve">, and safety reports and IRB approvals within </w:t>
      </w:r>
      <w:r>
        <w:rPr>
          <w:b w:val="0"/>
          <w:sz w:val="18"/>
          <w:highlight w:val="green"/>
        </w:rPr>
        <w:t>[DEFAULT: 5 business days]</w:t>
      </w:r>
      <w:r>
        <w:rPr>
          <w:b w:val="0"/>
          <w:sz w:val="18"/>
        </w:rPr>
        <w:t xml:space="preserve"> (SOP-03 5.7.1).</w:t>
      </w:r>
    </w:p>
    <w:p>
      <w:pPr>
        <w:pStyle w:val="ListBullet"/>
        <w:spacing w:after="0"/>
      </w:pPr>
      <w:r>
        <w:rPr>
          <w:b w:val="0"/>
          <w:sz w:val="18"/>
        </w:rPr>
        <w:t>Check the ISF against this index before each monitoring visit and at close-out, and record each check below (SOP-03 5.8.2, 5.11.1).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ISF format (paper, site eISF, sponsor eISF, hybrid)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ISF location or system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Protocol and product information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Signed protocol and all amendments, with signature pages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Correspondence with sponsor, CRO and vendors that records decisions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Investigator's Brochure, package insert or device instructions for use (all versions) and PI acknowledgments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Sample case report forms or EDC completion guidelines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Pharmacy, laboratory and other study manuals (all versions)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Investigator and staff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Form FDA 1572 (drug or biologic) or signed device investigator agreement, all versions, and dated change notices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CVs, licenses and training records for investigators and delegated staff (or pointer to qualification files)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Financial disclosure forms for each investigator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Delegation of Authority Log (F-302-01)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Initiation attendance and protocol training records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PI oversight notes (F-306-01, SOP-02 5.6.3)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IRB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IRB approvals for protocol, amendments, consent forms, recruitment materials and continuing review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IRB-approved consent forms, all versions, and F-301-02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IRB submissions, correspondence and reportable event reports (F-502-01)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IRB registration or roster, and any reliance agreement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Agreements and finance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Executed CTA, budget, amendments and insurance certificate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Coverage analysis (F-202-01) and billing grid versions, or pointer (SOP-M2, if adopted)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Provider documents for the study (CLIA certificates, reference ranges); agreements per SOP-M1 if adopted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Go decision and Study Activation Checklist (F-205-01); F-200-01 stays in the contracts folder (SOP-03 5.6.3)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Investigational product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shipping and receipt records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accountability logs (F-304-01 site inventory; F-304-04 participant dispensing and return)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Temperature logs and excursion reports (F-304-02, F-304-03)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Randomization and unblinding records (F-305-01, restricted file where they show assignment)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IP return or destruction records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Participants and data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Pre-screening and screening and enrollment logs (F-300-01, F-303-01)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Pointer to signed consent forms and the participant identification code list (kept separately, SOP-03 5.6.3)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Source Data Location List signed by the PI (SOP-07 5.2)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Laboratory certification (CLIA, CAP) and normal ranges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Specimen shipment records (F-311-01)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Equipment calibration records (F-312-01) or pointer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Safety, monitoring and quality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SAE reports and follow-ups (F-501-01) and pregnancy reports (F-503-01)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IND safety reports and sponsor safety letters with PI review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Protocol deviation log (F-308-01)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Monitoring visit log, follow-up letters and action tracker (F-600-01, F-600-02)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Qualification, initiation and close-out visit reports or letters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Notes to file (F-306-01) and CAPA records relevant to the study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Audit certificates and inspection records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Close-out records (F-601-01)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Systems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User access records for study systems (or pointer to F-401-01)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System manuals and EDC, IRT, eCOA and portal training records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Controlling logs (SOP-03 5.6.2)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34"/>
        <w:gridCol w:w="4134"/>
        <w:gridCol w:w="1378"/>
      </w:tblGrid>
      <w:tr>
        <w:trPr>
          <w:tblHeader w:val="true"/>
        </w:trPr>
        <w:tc>
          <w:tcPr>
            <w:tcW w:type="dxa" w:w="413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Study log (delegation, screening, IP, deviations, other)</w:t>
            </w:r>
          </w:p>
        </w:tc>
        <w:tc>
          <w:tcPr>
            <w:tcW w:type="dxa" w:w="413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Controlling log (site form or sponsor log)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Site form marked superseded (Y/N)</w:t>
            </w: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Record location map (records kept outside the ISF)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44"/>
        <w:gridCol w:w="2144"/>
        <w:gridCol w:w="1072"/>
        <w:gridCol w:w="2144"/>
        <w:gridCol w:w="2144"/>
      </w:tblGrid>
      <w:tr>
        <w:trPr>
          <w:tblHeader w:val="true"/>
        </w:trPr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 type</w:t>
            </w:r>
          </w:p>
        </w:tc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System or location</w:t>
            </w:r>
          </w:p>
        </w:tc>
        <w:tc>
          <w:tcPr>
            <w:tcW w:type="dxa" w:w="1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Controlled by (site or sponsor)</w:t>
            </w:r>
          </w:p>
        </w:tc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How the site gets access</w:t>
            </w:r>
          </w:p>
        </w:tc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How a copy is kept at close-out</w:t>
            </w: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Current versions (consent forms on F-301-02)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34"/>
        <w:gridCol w:w="2756"/>
        <w:gridCol w:w="2756"/>
      </w:tblGrid>
      <w:tr>
        <w:trPr>
          <w:tblHeader w:val="true"/>
        </w:trPr>
        <w:tc>
          <w:tcPr>
            <w:tcW w:type="dxa" w:w="413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Controlled document (protocol, IB, manual, recruitment material)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Current version and date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Previous version marked superseded (date)</w:t>
            </w: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ISF 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06"/>
        <w:gridCol w:w="2412"/>
        <w:gridCol w:w="4824"/>
        <w:gridCol w:w="1206"/>
      </w:tblGrid>
      <w:tr>
        <w:trPr>
          <w:tblHeader w:val="true"/>
        </w:trPr>
        <w:tc>
          <w:tcPr>
            <w:tcW w:type="dxa" w:w="120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Check date</w:t>
            </w:r>
          </w:p>
        </w:tc>
        <w:tc>
          <w:tcPr>
            <w:tcW w:type="dxa" w:w="241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(pre-monitoring visit, close-out)</w:t>
            </w:r>
          </w:p>
        </w:tc>
        <w:tc>
          <w:tcPr>
            <w:tcW w:type="dxa" w:w="482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Gaps found</w:t>
            </w:r>
          </w:p>
        </w:tc>
        <w:tc>
          <w:tcPr>
            <w:tcW w:type="dxa" w:w="120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Reviewer initials</w:t>
            </w: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F-204-01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F-204-01 Investigator Site File Index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F-204-01 Investigator Site File Index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