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Coverage Analysis Worksheet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billing determination at feasibility and, for a study where any item may be billed, the full item-by-item coverage analysis.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At Tier 2 feasibility, the Site Director records whether any study item could be billed to an insurer or participant (SOP-M2 5.9.1).</w:t>
      </w:r>
    </w:p>
    <w:p>
      <w:pPr>
        <w:pStyle w:val="ListBullet"/>
        <w:spacing w:after="0"/>
      </w:pPr>
      <w:r>
        <w:rPr>
          <w:b w:val="0"/>
          <w:sz w:val="18"/>
        </w:rPr>
        <w:t>No billing: record the no-billing attestation on F-205-01 (SOP-03 5.10.5; SOP-M2 5.9.2). This worksheet then holds only the feasibility determination.</w:t>
      </w:r>
    </w:p>
    <w:p>
      <w:pPr>
        <w:pStyle w:val="ListBullet"/>
        <w:spacing w:after="0"/>
      </w:pPr>
      <w:r>
        <w:rPr>
          <w:b w:val="0"/>
          <w:sz w:val="18"/>
        </w:rPr>
        <w:t>Billing: complete the full coverage analysis from the final protocol, consent, draft CTA and budget, IND or IDE documents and NCT number. The PI confirms each R item is medically necessary at that frequency absent the study and signs; the Site Director approves before the budget is final (SOP-M2 5.9.3, 5.9.4). Update for every amendment that changes visits, procedures or budget (SOP-M2 5.9.6).</w:t>
      </w:r>
    </w:p>
    <w:p>
      <w:pPr>
        <w:pStyle w:val="ListBullet"/>
        <w:spacing w:after="0"/>
      </w:pPr>
      <w:r>
        <w:rPr>
          <w:b w:val="0"/>
          <w:sz w:val="18"/>
        </w:rPr>
        <w:t>Before activation, confirm the CA, budget, CTA, consent costs section and billing grid agree (SOP-M2 5.9.5).</w:t>
      </w:r>
    </w:p>
    <w:p>
      <w:pPr>
        <w:pStyle w:val="ListBullet"/>
        <w:spacing w:after="0"/>
      </w:pPr>
      <w:r>
        <w:rPr>
          <w:b w:val="0"/>
          <w:sz w:val="18"/>
        </w:rPr>
        <w:t xml:space="preserve">File in the ISF or </w:t>
      </w:r>
      <w:r>
        <w:rPr>
          <w:b w:val="0"/>
          <w:sz w:val="18"/>
          <w:highlight w:val="yellow"/>
        </w:rPr>
        <w:t>[BILLING COMPLIANCE FOLDER]</w:t>
      </w:r>
      <w:r>
        <w:rPr>
          <w:b w:val="0"/>
          <w:sz w:val="18"/>
        </w:rPr>
        <w:t xml:space="preserve"> with each billing grid version. Keep billing records for the longer of the study retention period and </w:t>
      </w:r>
      <w:r>
        <w:rPr>
          <w:b w:val="0"/>
          <w:sz w:val="18"/>
          <w:highlight w:val="green"/>
        </w:rPr>
        <w:t>[DEFAULT: 10 years]</w:t>
      </w:r>
      <w:r>
        <w:rPr>
          <w:b w:val="0"/>
          <w:sz w:val="18"/>
        </w:rPr>
        <w:t xml:space="preserve"> (SOP-M2 5.10.3).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 and version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NCT number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IND number or IDE number and device category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Worksheet version and date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Feasibility determination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Billing determination at feasibility (none / possible)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Recorded by Site Director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Full coverage analysis</w:t>
      </w:r>
    </w:p>
    <w:p>
      <w:pPr>
        <w:spacing w:after="40"/>
      </w:pPr>
      <w:r>
        <w:rPr>
          <w:b w:val="0"/>
          <w:sz w:val="18"/>
        </w:rPr>
        <w:t>Complete this part when any study item may be billed to Medicare, another insurer or the participant.</w:t>
      </w:r>
    </w:p>
    <w:p>
      <w:pPr>
        <w:pStyle w:val="Heading2"/>
      </w:pPr>
      <w:r>
        <w:t>Qualifying trial and device coverage (SOP-M2 5.9.3)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072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9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Drug or biologic: Medicare benefit category, therapeutic intent, enrolls diagnosed participants (NCD 310.1)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Deemed qualifying: federally funded, under an FDA-reviewed IND, or IND-exempt under 21 CFR 312.2(b)(1)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IDE device: CMS approval letter on file (Category A: routine care only; Category B: routine care and device unless sponsor provides it)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Commercial and Medicaid plan requirements and Medicare Advantage instruction checked before the first billable visit (SOP-M2 5.9.10)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Item-by-item worksheet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90"/>
        <w:gridCol w:w="1063"/>
        <w:gridCol w:w="1063"/>
        <w:gridCol w:w="1063"/>
        <w:gridCol w:w="1063"/>
        <w:gridCol w:w="1063"/>
        <w:gridCol w:w="3190"/>
        <w:gridCol w:w="1063"/>
        <w:gridCol w:w="1063"/>
      </w:tblGrid>
      <w:tr>
        <w:trPr>
          <w:tblHeader w:val="true"/>
        </w:trPr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 or procedure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CPT/HCPCS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Standard of care at this frequency (Y/N)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pays or provides free (Y/N)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Designation (S, R, N)</w:t>
            </w:r>
          </w:p>
        </w:tc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Basis (guideline, NCD or LCD, published standard, PI attestation)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Budget line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ICF consistent (Y/N)</w:t>
            </w: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Key</w:t>
      </w:r>
    </w:p>
    <w:p>
      <w:pPr>
        <w:spacing w:after="40"/>
      </w:pPr>
      <w:r>
        <w:rPr>
          <w:b w:val="0"/>
          <w:sz w:val="18"/>
        </w:rPr>
        <w:t>S = sponsor-paid. R = routine and billable. N = research-only, not billed. Insurance-billed R items carry the Q1 modifier, Q0 on billable investigational services, ICD-10-CM Z00.6 as secondary diagnosis for qualifying trials, condition code 30 on institutional claims, the NCT number and, for devices, the IDE number (SOP-M2 5.9.8). S and N items never appear on a claim or participant statement.</w:t>
      </w:r>
    </w:p>
    <w:p>
      <w:pPr>
        <w:pStyle w:val="Heading2"/>
      </w:pPr>
      <w:r>
        <w:t>Consistency check before activation (SOP-M2 5.9.5)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792"/>
        <w:gridCol w:w="720"/>
        <w:gridCol w:w="720"/>
        <w:gridCol w:w="2592"/>
      </w:tblGrid>
      <w:tr>
        <w:trPr>
          <w:tblHeader w:val="true"/>
        </w:trPr>
        <w:tc>
          <w:tcPr>
            <w:tcW w:type="dxa" w:w="97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979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Every S item is in the budget and no R item is also paid by the sponsor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79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CTA payment and subject injury terms match this worksheet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79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Consent form costs section matches this worksheet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792"/>
          </w:tcPr>
          <w:p>
            <w:pPr>
              <w:spacing w:after="0"/>
            </w:pPr>
            <w:r>
              <w:rPr>
                <w:b w:val="0"/>
                <w:sz w:val="17"/>
              </w:rPr>
              <w:t>Billing grid reproduces this worksheet exactly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Finance / Contracts Lead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Principal Investigator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F-202-01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F-202-01 Coverage Analysis Worksheet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SOP-M2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F-202-01 Coverage Analysis Worksheet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