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Feasibility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site's data-based Tier 2 assessment of whether it can enroll and conduct a study safely and to protocol, and the go, conditional go or no-go decision.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feasibility owner completes this form when Tier 2 starts (shortlist, qualification visit request, CTA, or Site Director request) (SOP-M2 5.1.4).</w:t>
      </w:r>
    </w:p>
    <w:p>
      <w:pPr>
        <w:pStyle w:val="ListBullet"/>
        <w:spacing w:after="0"/>
      </w:pPr>
      <w:r>
        <w:rPr>
          <w:b w:val="0"/>
          <w:sz w:val="18"/>
        </w:rPr>
        <w:t>Base counts on queries of site data and record each query; aggregate counts only, no PHI in any questionnaire (SOP-M2 5.2.2). Verbal referral assurances are recorded as such (SOP-M2 5.2.3).</w:t>
      </w:r>
    </w:p>
    <w:p>
      <w:pPr>
        <w:pStyle w:val="ListBullet"/>
        <w:spacing w:after="0"/>
      </w:pPr>
      <w:r>
        <w:rPr>
          <w:b w:val="0"/>
          <w:sz w:val="18"/>
        </w:rPr>
        <w:t xml:space="preserve">Give the enrollment estimate as a range with recorded assumptions; the PI approves it. Report </w:t>
      </w:r>
      <w:r>
        <w:rPr>
          <w:b w:val="0"/>
          <w:sz w:val="18"/>
          <w:highlight w:val="green"/>
        </w:rPr>
        <w:t>[DEFAULT: the expected value, with the range where the questionnaire allows]</w:t>
      </w:r>
      <w:r>
        <w:rPr>
          <w:b w:val="0"/>
          <w:sz w:val="18"/>
        </w:rPr>
        <w:t xml:space="preserve"> and never a number above the approved expected value (SOP-M2 5.2.7).</w:t>
      </w:r>
    </w:p>
    <w:p>
      <w:pPr>
        <w:pStyle w:val="ListBullet"/>
        <w:spacing w:after="0"/>
      </w:pPr>
      <w:r>
        <w:rPr>
          <w:b w:val="0"/>
          <w:sz w:val="18"/>
        </w:rPr>
        <w:t>The PI and Site Director record go, conditional go or no-go; a conditional go becomes a go only when each condition is recorded as met (SOP-M2 5.3). Sponsor-investigator studies: record the SOP-M6 5.1.2 resourcing decision.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Keep this form in </w:t>
      </w:r>
      <w:r>
        <w:rPr>
          <w:b w:val="0"/>
          <w:sz w:val="18"/>
          <w:highlight w:val="yellow"/>
        </w:rPr>
        <w:t>[CONTRACTS FOLDER]</w:t>
      </w:r>
      <w:r>
        <w:rPr>
          <w:b w:val="0"/>
          <w:sz w:val="18"/>
        </w:rPr>
        <w:t xml:space="preserve">, not in the ISF or with the sponsor. Keep records of declined studies for </w:t>
      </w:r>
      <w:r>
        <w:rPr>
          <w:b w:val="0"/>
          <w:sz w:val="18"/>
          <w:highlight w:val="green"/>
        </w:rPr>
        <w:t>[DEFAULT: 3 years]</w:t>
      </w:r>
      <w:r>
        <w:rPr>
          <w:b w:val="0"/>
          <w:sz w:val="18"/>
        </w:rPr>
        <w:t xml:space="preserve"> (SOP-M2 5.10.1).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Indication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Phase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received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Feasibility owner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questionnaire due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Study overview (SOP-M2 5.2.1)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Study design and IP type (drug, biologic, device, combination)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IP storage requirements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Population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Key inclusion and exclusion criteria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enrollment for the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Enrollment period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Visits per participant, duration and longest visit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Special procedures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Stop factors (no qualified investigator, facility gap, directly competing study, timeline)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Population queries (SOP-M2 5.2.2)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12"/>
        <w:gridCol w:w="1206"/>
        <w:gridCol w:w="3618"/>
        <w:gridCol w:w="1206"/>
        <w:gridCol w:w="1206"/>
      </w:tblGrid>
      <w:tr>
        <w:trPr>
          <w:tblHeader w:val="true"/>
        </w:trPr>
        <w:tc>
          <w:tcPr>
            <w:tcW w:type="dxa" w:w="24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Data source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run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Criteria applied and look-back period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Count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Run by</w:t>
            </w: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Population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Criteria that could not be queried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Referral sources and evidence of past referral volume (verbal assurances noted as such)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Capacity (SOP-M2 5.2.4)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Coordinator hours per participant (Lead CRC)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Can be staffed (Site Director)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and Sub-I time for investigator tasks at the expected rate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Within PI study limit (SOP-02 5.4)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Covering investigator available for any study without a Sub-I (SOP-16 5.6.2)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Blinded studies: separate unblinded person and backup (SOP-05)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Facilities and equipment (gaps and plan in Comment) (SOP-M2 5.2.5)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Rooms and extended-visit capacity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storage with temperature monitoring; controlled-substance storage if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 processing, freezers, dry ice and shipping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Calibrated equipment (for example ECG, scales, spirometer)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CLIA certificate type for on-site testing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Vendors and systems available (SOP-M1 if adopted)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PI review (SOP-M2 5.2.6)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Scientific interest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Safety concerns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Fit with how the site's patients are managed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Availability for the study duration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Conflict of interest (SOP-02)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Qualification plan if no relevant experience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Enrollment estimate (SOP-M2 5.2.7)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Low estimate (participants)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estimate (participants)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Assumptions: unqueried criteria, interest, screen-fail rate and source, months enrolling, competing studies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Value reported to 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approval of estimate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Financial viability (SOP-M2 5.2.8)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Finance preliminary view (viable / viable only with negotiation / not viable)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Finance reviewer and date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Decision (SOP-M2 5.3)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(go / conditional go / no-go)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Main reasons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 (conditional go)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 met (Site Director, 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Sponsor-investigator study: Site Director resourcing decision (SOP-M6 5.1.2)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decision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told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reconfirmed after material protocol change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Feasibility owner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F-200-01 Study Feasibility Assessment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F-200-01 Study Feasibility Assessment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