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Service Provider Qualification and Oversight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provider's category and risk level, the qualification evidence, the company debarment and exclusion screen, the agreement, and the site's ongoing oversight.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Before a provider performs any trial-related activity, the Quality Lead and PI record its category (SOP-M1 5.1.1). Standard-terms provider: complete Provider, Standard-terms provider and Oversight. Investigator-engaged: complete the whole record. Sponsor-identified: complete Provider, PI decision and Oversight. Sponsor service provider: no record; file the sponsor's documents in the ISF (SOP-M1 5.8).</w:t>
      </w:r>
    </w:p>
    <w:p>
      <w:pPr>
        <w:pStyle w:val="ListBullet"/>
        <w:spacing w:after="0"/>
      </w:pPr>
      <w:r>
        <w:rPr>
          <w:b w:val="0"/>
          <w:sz w:val="18"/>
        </w:rPr>
        <w:t>Standard-terms providers: check the certificate or accreditation at least annually; this is the only recurring check (SOP-M1 5.2.4).</w:t>
      </w:r>
    </w:p>
    <w:p>
      <w:pPr>
        <w:pStyle w:val="ListBullet"/>
        <w:spacing w:after="0"/>
      </w:pPr>
      <w:r>
        <w:rPr>
          <w:b w:val="0"/>
          <w:sz w:val="18"/>
        </w:rPr>
        <w:t>Investigator-engaged providers: complete qualification and the written agreement before work starts (SOP-M1 5.3, 5.4). The Finance / Contracts Lead screens the provider company (not its personnel) before engagement and annually (SOP-M1 5.3.5).</w:t>
      </w:r>
    </w:p>
    <w:p>
      <w:pPr>
        <w:pStyle w:val="ListBullet"/>
        <w:spacing w:after="0"/>
      </w:pPr>
      <w:r>
        <w:rPr>
          <w:b w:val="0"/>
          <w:sz w:val="18"/>
        </w:rPr>
        <w:t>Log each provider issue when found. At least annually, the PI and Provider Owner review each investigator-engaged provider; this review is also the requalification (SOP-M1 5.6.1, 5.6.2). Provider issues count toward the SOP-08 repeat-problem trigger; the Quality Lead opens a CAPA when an SOP-08 trigger is met (SOP-M1 5.6.3).</w:t>
      </w:r>
    </w:p>
    <w:p>
      <w:pPr>
        <w:pStyle w:val="ListBullet"/>
        <w:spacing w:after="0"/>
      </w:pPr>
      <w:r>
        <w:rPr>
          <w:b w:val="0"/>
          <w:sz w:val="18"/>
        </w:rPr>
        <w:t>When the relationship ends, the Quality Lead closes this record with the end date and reason (SOP-M1 5.9).</w:t>
      </w:r>
    </w:p>
    <w:p>
      <w:pPr>
        <w:spacing w:after="0"/>
      </w:pPr>
    </w:p>
    <w:p>
      <w:pPr>
        <w:pStyle w:val="Heading2"/>
      </w:pPr>
      <w:r>
        <w:t>Provider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Provider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Address and contact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Service provided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Studies or locations supported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Start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Provider Owner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Category (standard-terms, investigator-engaged, sponsor-identified)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Risk level, investigator-engaged only (High or Standard) and reason (SOP-M1 5.3.1)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Standard-terms provider (SOP-M1 5.2)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CLIA (complexity level) or accreditation certificate filed and expiry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Laboratory reference ranges and effective dates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Standard, published or sponsor-accepted terms accepted (statement filed)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BAA needed (Privacy Officer decision, SOP-12)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Investigator-engaged: qualification and agreement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Qualification evidence for the provider type collected (SOP-M1 5.3.2)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High risk: </w:t>
            </w:r>
            <w:r>
              <w:rPr>
                <w:b w:val="0"/>
                <w:sz w:val="17"/>
                <w:highlight w:val="green"/>
              </w:rPr>
              <w:t>[DEFAULT: a completed questionnaire for every high-risk provider, plus a site visit or remote assessment for home health and mobile phlebotomy providers]</w:t>
            </w:r>
            <w:r>
              <w:rPr>
                <w:b w:val="0"/>
                <w:sz w:val="17"/>
              </w:rPr>
              <w:t xml:space="preserve"> (SOP-M1 5.3.3)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Systems holding study data fit for purpose (validation, access control, audit trail)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Provider's own processes accepted for the tasks (reason below if not designed for GCP)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 xml:space="preserve">Written agreement signed with the SOP-M1 5.4.1 terms (incident notice within </w:t>
            </w:r>
            <w:r>
              <w:rPr>
                <w:b w:val="0"/>
                <w:sz w:val="17"/>
                <w:highlight w:val="green"/>
              </w:rPr>
              <w:t>[DEFAULT: 1 business day]</w:t>
            </w:r>
            <w:r>
              <w:rPr>
                <w:b w:val="0"/>
                <w:sz w:val="17"/>
              </w:rPr>
              <w:t>), or provider's standard terms assessed under SOP-M1 5.4.4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BAA or equivalent confidentiality and security terms where PHI is handled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CTA checked; sponsor consent to subcontract obtained where required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Company debarment and exclusion screens (before engagement and annually)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378"/>
        <w:gridCol w:w="2756"/>
        <w:gridCol w:w="2756"/>
        <w:gridCol w:w="1378"/>
        <w:gridCol w:w="1378"/>
      </w:tblGrid>
      <w:tr>
        <w:trPr>
          <w:tblHeader w:val="true"/>
        </w:trPr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Lists searched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Company name searched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Result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Screener initials</w:t>
            </w: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Decision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Qualification decision (approved / approved with conditions / not approved) and conditions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for accepting non-GCP processes (if applicable)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Provider's standard terms (SOP-M1 5.4.4): each gap against 5.4.1, acceptable for the risk level (Y/N) and mitigation (for example SOC 2 Type II or ISO 27001 report, Part 11 controls, data export)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decision for a sponsor-identified provider (appropriate / not appropriate, conditions)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Oversight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964"/>
        <w:gridCol w:w="2894"/>
        <w:gridCol w:w="2894"/>
        <w:gridCol w:w="1929"/>
        <w:gridCol w:w="964"/>
      </w:tblGrid>
      <w:tr>
        <w:trPr>
          <w:tblHeader w:val="true"/>
        </w:trPr>
        <w:tc>
          <w:tcPr>
            <w:tcW w:type="dxa" w:w="9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</w:t>
            </w:r>
          </w:p>
        </w:tc>
        <w:tc>
          <w:tcPr>
            <w:tcW w:type="dxa" w:w="289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Entry (issue, annual certificate check, annual review incl. recorded term gaps: continue / conditions / stop, early requalification)</w:t>
            </w:r>
          </w:p>
        </w:tc>
        <w:tc>
          <w:tcPr>
            <w:tcW w:type="dxa" w:w="289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Findings</w:t>
            </w:r>
          </w:p>
        </w:tc>
        <w:tc>
          <w:tcPr>
            <w:tcW w:type="dxa" w:w="1929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Action or CAPA number</w:t>
            </w:r>
          </w:p>
        </w:tc>
        <w:tc>
          <w:tcPr>
            <w:tcW w:type="dxa" w:w="96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Initials</w:t>
            </w: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96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96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Closure (SOP-M1 5.9)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End date and reason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Records obtained or retention with site access confirmed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System access removed; participant information returned or destroyed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Principal Investigator (providers performing investigator activities)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 (business relationship)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F-105-01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2.0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F-105-01 Service Provider Qualification and Oversight Record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SOP-M1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F-105-01 Service Provider Qualification and Oversight Record</dc:title>
  <dc:subject>Form</dc:subject>
  <dc:creator>American Institute for Medical Research (AIMR)</dc:creator>
  <cp:keywords>SOP; GCP; ICH E6(R3); clinical research site</cp:keywords>
  <dc:description>Independent Site SOP Library: Lean Edition, template release 2.0.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Lean Edition</cp:category>
</cp:coreProperties>
</file>