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Staff Qualification File Checklist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Confirms that a staff member's qualification file is complete before they are delegated study tasks, and tracks screening and expiring credentials.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Quality Lead completes this checklist at hire and reviews the file when the person is added to a new study (SOP-01 5.8.1, 5.11.3). The Regulatory Coordinator uses it with F-103-01 before the PI signs a delegation (SOP-02 5.5.3).</w:t>
      </w:r>
    </w:p>
    <w:p>
      <w:pPr>
        <w:pStyle w:val="ListBullet"/>
        <w:spacing w:after="0"/>
      </w:pPr>
      <w:r>
        <w:rPr>
          <w:b w:val="0"/>
          <w:sz w:val="18"/>
        </w:rPr>
        <w:t>Mark N/A where an item does not apply to the role (for example a license for a non-licensed CRC).</w:t>
      </w:r>
    </w:p>
    <w:p>
      <w:pPr>
        <w:pStyle w:val="ListBullet"/>
        <w:spacing w:after="0"/>
      </w:pPr>
      <w:r>
        <w:rPr>
          <w:b w:val="0"/>
          <w:sz w:val="18"/>
        </w:rPr>
        <w:t xml:space="preserve">Screen each person at hire and at least </w:t>
      </w:r>
      <w:r>
        <w:rPr>
          <w:b w:val="0"/>
          <w:sz w:val="18"/>
          <w:highlight w:val="green"/>
        </w:rPr>
        <w:t>[DEFAULT: annually]</w:t>
      </w:r>
      <w:r>
        <w:rPr>
          <w:b w:val="0"/>
          <w:sz w:val="18"/>
        </w:rPr>
        <w:t xml:space="preserve"> against the FDA Debarment List, the FDA Clinical Investigators Disqualification Proceedings list and the HHS OIG exclusion list, with a dated printout or screenshot (SOP-01 5.8.3). A possible match is resolved under SOP-01 5.8.4.</w:t>
      </w:r>
    </w:p>
    <w:p>
      <w:pPr>
        <w:pStyle w:val="ListBullet"/>
        <w:spacing w:after="0"/>
      </w:pPr>
      <w:r>
        <w:rPr>
          <w:b w:val="0"/>
          <w:sz w:val="18"/>
        </w:rPr>
        <w:t xml:space="preserve">Remind the person </w:t>
      </w:r>
      <w:r>
        <w:rPr>
          <w:b w:val="0"/>
          <w:sz w:val="18"/>
          <w:highlight w:val="green"/>
        </w:rPr>
        <w:t>[DEFAULT: 60 calendar days]</w:t>
      </w:r>
      <w:r>
        <w:rPr>
          <w:b w:val="0"/>
          <w:sz w:val="18"/>
        </w:rPr>
        <w:t xml:space="preserve"> before a credential expires. A person whose required license or certification lapses stops the related tasks the same day until renewal is verified (SOP-01 5.8.2).</w:t>
      </w:r>
    </w:p>
    <w:p>
      <w:pPr>
        <w:pStyle w:val="ListBullet"/>
        <w:spacing w:after="0"/>
      </w:pPr>
      <w:r>
        <w:rPr>
          <w:b w:val="0"/>
          <w:sz w:val="18"/>
        </w:rPr>
        <w:t>Redact personal data the sponsor does not need before sending copies for the ISF (SOP-01 5.8.5).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Staff name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Start date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Qualification file contents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 xml:space="preserve">CV signed and dated, current within </w:t>
            </w:r>
            <w:r>
              <w:rPr>
                <w:b w:val="0"/>
                <w:sz w:val="17"/>
                <w:highlight w:val="green"/>
              </w:rPr>
              <w:t>[DEFAULT: 2 years]</w:t>
            </w:r>
            <w:r>
              <w:rPr>
                <w:b w:val="0"/>
                <w:sz w:val="17"/>
              </w:rPr>
              <w:t xml:space="preserve"> or the sponsor's limit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Signed role description and confidentiality agreement (SOP-02; F-102-02)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License or certification verified with the issuing board (dated printout)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Medical license verified for each state where the person sees participants, including remote visits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 xml:space="preserve">DEA and </w:t>
            </w:r>
            <w:r>
              <w:rPr>
                <w:b w:val="0"/>
                <w:sz w:val="17"/>
                <w:highlight w:val="yellow"/>
              </w:rPr>
              <w:t>[STATE]</w:t>
            </w:r>
            <w:r>
              <w:rPr>
                <w:b w:val="0"/>
                <w:sz w:val="17"/>
              </w:rPr>
              <w:t xml:space="preserve"> controlled-substance registration (investigators who prescribe, dispense or order controlled substances)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Debarment, disqualification and exclusion screen current (record below)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 xml:space="preserve">GCP training certificate current (refresher every </w:t>
            </w:r>
            <w:r>
              <w:rPr>
                <w:b w:val="0"/>
                <w:sz w:val="17"/>
                <w:highlight w:val="green"/>
              </w:rPr>
              <w:t>[DEFAULT: 3 years]</w:t>
            </w:r>
            <w:r>
              <w:rPr>
                <w:b w:val="0"/>
                <w:sz w:val="17"/>
              </w:rPr>
              <w:t>, sponsor convention)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Human subjects protection training, when the IRB, sponsor or funder requires it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HIPAA, privacy and security training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Bloodborne pathogens training (staff with occupational exposure)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IATA and DOT shipping training (staff who ship specimens or dry ice)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BLS or ACLS where the SOP-01 5.8.1 Site decision requires it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SOP training for the role (F-100-02) and system training (F-401-01)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Financial disclosure (investigators on the 1572 or device records) and COI disclosure (all staff) (F-104-01)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Staff Training Log opened (F-103-01)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Debarment, disqualification and exclusion screens (at hire and [DEFAULT: annually])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378"/>
        <w:gridCol w:w="2756"/>
        <w:gridCol w:w="1378"/>
        <w:gridCol w:w="2756"/>
        <w:gridCol w:w="1378"/>
      </w:tblGrid>
      <w:tr>
        <w:trPr>
          <w:tblHeader w:val="true"/>
        </w:trPr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27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Lists searched</w:t>
            </w:r>
          </w:p>
        </w:tc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Name searched</w:t>
            </w:r>
          </w:p>
        </w:tc>
        <w:tc>
          <w:tcPr>
            <w:tcW w:type="dxa" w:w="27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Result (no match, possible match verified, confirmed match)</w:t>
            </w:r>
          </w:p>
        </w:tc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Screener initials</w:t>
            </w: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  <w:tc>
          <w:tcPr>
            <w:tcW w:type="dxa" w:w="1378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  <w:tc>
          <w:tcPr>
            <w:tcW w:type="dxa" w:w="1378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Expiring credentials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16"/>
        <w:gridCol w:w="2144"/>
        <w:gridCol w:w="1072"/>
        <w:gridCol w:w="1072"/>
        <w:gridCol w:w="2144"/>
      </w:tblGrid>
      <w:tr>
        <w:trPr>
          <w:tblHeader w:val="true"/>
        </w:trPr>
        <w:tc>
          <w:tcPr>
            <w:tcW w:type="dxa" w:w="321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Credential</w:t>
            </w:r>
          </w:p>
        </w:tc>
        <w:tc>
          <w:tcPr>
            <w:tcW w:type="dxa" w:w="214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Number</w:t>
            </w:r>
          </w:p>
        </w:tc>
        <w:tc>
          <w:tcPr>
            <w:tcW w:type="dxa" w:w="107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Expiry date</w:t>
            </w:r>
          </w:p>
        </w:tc>
        <w:tc>
          <w:tcPr>
            <w:tcW w:type="dxa" w:w="107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Reminder date</w:t>
            </w:r>
          </w:p>
        </w:tc>
        <w:tc>
          <w:tcPr>
            <w:tcW w:type="dxa" w:w="214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Verified by (initials/date)</w:t>
            </w: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File reviews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378"/>
        <w:gridCol w:w="2756"/>
        <w:gridCol w:w="4134"/>
        <w:gridCol w:w="1378"/>
      </w:tblGrid>
      <w:tr>
        <w:trPr>
          <w:tblHeader w:val="true"/>
        </w:trPr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Review date</w:t>
            </w:r>
          </w:p>
        </w:tc>
        <w:tc>
          <w:tcPr>
            <w:tcW w:type="dxa" w:w="27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Reason (hire, new study)</w:t>
            </w:r>
          </w:p>
        </w:tc>
        <w:tc>
          <w:tcPr>
            <w:tcW w:type="dxa" w:w="413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Gaps found and action</w:t>
            </w:r>
          </w:p>
        </w:tc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Reviewer initials</w:t>
            </w: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  <w:tc>
          <w:tcPr>
            <w:tcW w:type="dxa" w:w="4134"/>
          </w:tcPr>
          <w:p>
            <w:pPr>
              <w:spacing w:after="0"/>
            </w:pPr>
          </w:p>
        </w:tc>
        <w:tc>
          <w:tcPr>
            <w:tcW w:type="dxa" w:w="1378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Verification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Quality Lead or delegate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F-103-02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F-103-02 Staff Qualification File Checklist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SOP-01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F-103-02 Staff Qualification File Checklist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