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Staff Onboarding and Offboarding Checklist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Confirms that a staff member was set up correctly before starting research work and that access, records and study duties were closed when they left.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Site Director starts onboarding by the start date and offboarding the same day notice is given (SOP-02 5.3.1, 5.3.3).</w:t>
      </w:r>
    </w:p>
    <w:p>
      <w:pPr>
        <w:pStyle w:val="ListBullet"/>
        <w:spacing w:after="0"/>
      </w:pPr>
      <w:r>
        <w:rPr>
          <w:b w:val="0"/>
          <w:sz w:val="18"/>
        </w:rPr>
        <w:t>Record dates for each access grant and removal. Site and sponsor system details are also recorded on F-401-01 (SOP-02 5.3.2).</w:t>
      </w:r>
    </w:p>
    <w:p>
      <w:pPr>
        <w:pStyle w:val="ListBullet"/>
        <w:spacing w:after="0"/>
      </w:pPr>
      <w:r>
        <w:rPr>
          <w:b w:val="0"/>
          <w:sz w:val="18"/>
        </w:rPr>
        <w:t>For an involuntary departure, remove access at or before the time the person is told (SOP-02 5.3.4).</w:t>
      </w:r>
    </w:p>
    <w:p>
      <w:pPr>
        <w:pStyle w:val="ListBullet"/>
        <w:spacing w:after="0"/>
      </w:pPr>
      <w:r>
        <w:rPr>
          <w:b w:val="0"/>
          <w:sz w:val="18"/>
        </w:rPr>
        <w:t>File the signed checklist in the qualification file.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Staff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Onboarding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Role description signed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Confidentiality agreement signed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License verification, screening and training completed before any research task (SOP-01; F-103-02)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Site system accounts granted after training, no shared log-ins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Sponsor system access requested after delegation (F-401-01)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Protocol training done and delegation signed by the PI for each study (F-302-01)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 xml:space="preserve">New Sub-I: sponsor change notice sent within </w:t>
            </w:r>
            <w:r>
              <w:rPr>
                <w:b w:val="0"/>
                <w:sz w:val="17"/>
                <w:highlight w:val="green"/>
              </w:rPr>
              <w:t>[DEFAULT: 5 business days]</w:t>
            </w:r>
            <w:r>
              <w:rPr>
                <w:b w:val="0"/>
                <w:sz w:val="17"/>
              </w:rPr>
              <w:t xml:space="preserve"> and IRB told as it requires (SOP-02 5.4.4)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Organization chart updated (F-102-01)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Keys, badges and codes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6"/>
        <w:gridCol w:w="2144"/>
        <w:gridCol w:w="1072"/>
        <w:gridCol w:w="2144"/>
        <w:gridCol w:w="1072"/>
      </w:tblGrid>
      <w:tr>
        <w:trPr>
          <w:tblHeader w:val="true"/>
        </w:trPr>
        <w:tc>
          <w:tcPr>
            <w:tcW w:type="dxa" w:w="321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 (key, badge, alarm code, IP or controlled-substance storage)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Number or ID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issued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returned or code changed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216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Onboarding complete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Staff member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Last working day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(resignation, end of contract, termination, role change)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offboarding started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Handover of studies (SOP-02 5.3.3)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4288"/>
        <w:gridCol w:w="2144"/>
        <w:gridCol w:w="1072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Study</w:t>
            </w:r>
          </w:p>
        </w:tc>
        <w:tc>
          <w:tcPr>
            <w:tcW w:type="dxa" w:w="428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Open tasks handed over (queries, AE/SAE follow-up, signatures, visits, IP reconciliation)</w:t>
            </w:r>
          </w:p>
        </w:tc>
        <w:tc>
          <w:tcPr>
            <w:tcW w:type="dxa" w:w="214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Handed to</w:t>
            </w:r>
          </w:p>
        </w:tc>
        <w:tc>
          <w:tcPr>
            <w:tcW w:type="dxa" w:w="107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4288"/>
          </w:tcPr>
          <w:p>
            <w:pPr>
              <w:keepNext/>
              <w:spacing w:after="0"/>
            </w:pPr>
          </w:p>
        </w:tc>
        <w:tc>
          <w:tcPr>
            <w:tcW w:type="dxa" w:w="2144"/>
          </w:tcPr>
          <w:p>
            <w:pPr>
              <w:keepNext/>
              <w:spacing w:after="0"/>
            </w:pPr>
          </w:p>
        </w:tc>
        <w:tc>
          <w:tcPr>
            <w:tcW w:type="dxa" w:w="107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4288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Own source entries completed by the departing person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Delegation end date entered and initialed by the PI for each study (F-302-01)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Site system access removed by </w:t>
            </w:r>
            <w:r>
              <w:rPr>
                <w:b w:val="0"/>
                <w:sz w:val="17"/>
                <w:highlight w:val="green"/>
              </w:rPr>
              <w:t>[DEFAULT: the end of the last working day]</w:t>
            </w:r>
            <w:r>
              <w:rPr>
                <w:b w:val="0"/>
                <w:sz w:val="17"/>
              </w:rPr>
              <w:t xml:space="preserve"> (F-401-01)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Sponsor revocation requested </w:t>
            </w:r>
            <w:r>
              <w:rPr>
                <w:b w:val="0"/>
                <w:sz w:val="17"/>
                <w:highlight w:val="green"/>
              </w:rPr>
              <w:t>[DEFAULT: the same business day]</w:t>
            </w:r>
            <w:r>
              <w:rPr>
                <w:b w:val="0"/>
                <w:sz w:val="17"/>
              </w:rPr>
              <w:t xml:space="preserve"> and followed up until confirmed (F-401-01)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Keys collected and codes changed (table above)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Sponsor change notice sent and IRB told where required (SOP-02 5.4.4)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Organization chart and backups updated (F-102-01)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Offboarding complete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F-102-02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F-102-02 Staff Onboarding and Offboarding Checklist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SOP-02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F-102-02 Staff Onboarding and Offboarding Checklist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