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2" w:space="1" w:color="1F3864"/>
        </w:pBdr>
      </w:pPr>
      <w:r>
        <w:rPr>
          <w:b w:val="0"/>
        </w:rPr>
        <w:t>Start Here: Independent Site SOP Library: Lean Edition</w:t>
      </w:r>
    </w:p>
    <w:p>
      <w:pPr>
        <w:pStyle w:val="Heading1"/>
      </w:pPr>
      <w:r>
        <w:t>Status and use</w:t>
      </w:r>
    </w:p>
    <w:p>
      <w:r>
        <w:rPr>
          <w:b/>
        </w:rPr>
        <w:t>What this is.</w:t>
      </w:r>
      <w:r>
        <w:rPr>
          <w:b w:val="0"/>
        </w:rPr>
        <w:t xml:space="preserve"> A configurable template set of 16 core SOPs, 6 optional modules, forms and guides for a small independent US clinical research site running FDA-regulated drug, biologic and device trials, written to the regulatory baseline of 23 October 2026 (see the Regulatory Currency Note). It is condensed from the full Reference Edition (48 SOPs), which stays available for background and wording. Most independent sites also adopt SOP-M1 (any site using an outside laboratory, courier or IT or eReg vendor) and SOP-M2 (any site negotiating its own contracts), so a typical site adopts 18 to 19 SOPs (16 core plus its modules). Networks add the separate Network Edition.</w:t>
      </w:r>
    </w:p>
    <w:p>
      <w:r>
        <w:rPr>
          <w:b/>
        </w:rPr>
        <w:t>Review status.</w:t>
      </w:r>
      <w:r>
        <w:rPr>
          <w:b w:val="0"/>
        </w:rPr>
        <w:t xml:space="preserve"> The Lean Edition was condensed on 1 November 2026 from the Reference Edition, which had a citation audit, scenario walkthroughs and a structured adversarial expert review. The Lean text itself has had one structured adversarial expert review and the fixes it called for. As of 1 November 2026 it has not been reviewed by counsel or by a practicing site QA lead, and no site has adopted it. These statements describe the published template, not a site's adopted copy.</w:t>
      </w:r>
    </w:p>
    <w:p>
      <w:r>
        <w:rPr>
          <w:b/>
        </w:rPr>
        <w:t>Publisher and updates.</w:t>
      </w:r>
      <w:r>
        <w:rPr>
          <w:b w:val="0"/>
        </w:rPr>
        <w:t xml:space="preserve"> Published by the American Institute for Medical Research (AIMR). Updates and feedback: aimronline.org/sops. Release notes for each new release are posted there; a new release does not change a site's adopted SOPs until the site revises them under SOP-01.</w:t>
      </w:r>
    </w:p>
    <w:p>
      <w:r>
        <w:rPr>
          <w:b/>
        </w:rPr>
        <w:t>License.</w:t>
      </w:r>
      <w:r>
        <w:rPr>
          <w:b w:val="0"/>
        </w:rPr>
        <w:t xml:space="preserve"> Licensed under CC BY-NC 4.0 with an added permission: any research site, network or institution, including for-profit organizations, may copy, adapt and use these templates as its own internal procedures to run its own research operations. Selling, licensing or repackaging the templates, or delivering them as a paid consulting deliverable, requires written permission from AIMR. Attribution: 'Adapted from the Independent Site SOP Library by the American Institute for Medical Research (AIMR), aimronline.org/sops, CC BY-NC 4.0' (may be kept in the site's SOP master index).</w:t>
      </w:r>
    </w:p>
    <w:p>
      <w:r>
        <w:rPr>
          <w:b/>
        </w:rPr>
        <w:t>What it covers and excludes.</w:t>
      </w:r>
      <w:r>
        <w:rPr>
          <w:b w:val="0"/>
        </w:rPr>
        <w:t xml:space="preserve"> Written for industry-sponsored studies at a single site. Optional modules cover vendors, feasibility and contracting, recruitment, decentralized elements, research integrity reporting and sponsor-investigator studies. Excluded: Phase 1 units, oncology and radiation specifics, gene therapy and IBC, pharmacy compounding, and non-US trials.</w:t>
      </w:r>
    </w:p>
    <w:p>
      <w:r>
        <w:rPr>
          <w:b/>
        </w:rPr>
        <w:t>Who owns it once adopted.</w:t>
      </w:r>
      <w:r>
        <w:rPr>
          <w:b w:val="0"/>
        </w:rPr>
        <w:t xml:space="preserve"> Once </w:t>
      </w:r>
      <w:r>
        <w:rPr>
          <w:b w:val="0"/>
          <w:highlight w:val="yellow"/>
        </w:rPr>
        <w:t>[SITE NAME]</w:t>
      </w:r>
      <w:r>
        <w:rPr>
          <w:b w:val="0"/>
        </w:rPr>
        <w:t xml:space="preserve"> approves these documents they are the site's own SOPs. Every step is a commitment an auditor can test, so change or remove any step the site will not follow before approval.</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Not legal advice.</w:t>
            </w:r>
            <w:r>
              <w:rPr>
                <w:b w:val="0"/>
                <w:sz w:val="20"/>
              </w:rPr>
              <w:t xml:space="preserve"> These templates describe operating procedures. They do not give legal advice. Each adopting site confirms state law (Appendix A), IRB and sponsor requirements, and any legal or contracting position with its own counsel before approval.</w:t>
            </w:r>
          </w:p>
        </w:tc>
      </w:tr>
    </w:tbl>
    <w:p>
      <w:pPr>
        <w:spacing w:after="0"/>
      </w:pPr>
    </w:p>
    <w:p>
      <w:pPr>
        <w:pStyle w:val="Heading1"/>
      </w:pPr>
      <w:r>
        <w:t>License</w:t>
      </w:r>
    </w:p>
    <w:p>
      <w:r>
        <w:rPr>
          <w:b w:val="0"/>
        </w:rPr>
        <w:t>Licensed under CC BY-NC 4.0 with an added permission: any research site, network or institution, including for-profit organizations, may copy, adapt and use these templates as its own internal procedures to run its own research operations. Selling, licensing or repackaging the templates, or delivering them as a paid consulting deliverable, requires written permission from AIMR. Attribution: 'Adapted from the Independent Site SOP Library by the American Institute for Medical Research (AIMR), aimronline.org/sops, CC BY-NC 4.0' (may be kept in the site's SOP master index).</w:t>
      </w:r>
    </w:p>
    <w:p>
      <w:pPr>
        <w:pStyle w:val="Heading1"/>
      </w:pPr>
      <w:r>
        <w:t>How to start</w:t>
      </w:r>
    </w:p>
    <w:p>
      <w:pPr>
        <w:ind w:left="432" w:hanging="432"/>
      </w:pPr>
      <w:r>
        <w:rPr>
          <w:b/>
        </w:rPr>
        <w:t>1.</w:t>
        <w:tab/>
      </w:r>
      <w:r>
        <w:rPr>
          <w:b w:val="0"/>
        </w:rPr>
        <w:t>Read this page and the Adoption Guide (about 1 hour).</w:t>
      </w:r>
    </w:p>
    <w:p>
      <w:pPr>
        <w:ind w:left="432" w:hanging="432"/>
      </w:pPr>
      <w:r>
        <w:rPr>
          <w:b/>
        </w:rPr>
        <w:t>2.</w:t>
        <w:tab/>
      </w:r>
      <w:r>
        <w:rPr>
          <w:b w:val="0"/>
        </w:rPr>
        <w:t>Name the Quality Lead and an independent reviewer who does not report to the Site Director (SOP-02). The reviewer is usually an outside person; the Adoption Guide, Step 1, lists who qualifies and the expected hours.</w:t>
      </w:r>
    </w:p>
    <w:p>
      <w:pPr>
        <w:ind w:left="432" w:hanging="432"/>
      </w:pPr>
      <w:r>
        <w:rPr>
          <w:b/>
        </w:rPr>
        <w:t>3.</w:t>
        <w:tab/>
      </w:r>
      <w:r>
        <w:rPr>
          <w:b w:val="0"/>
        </w:rPr>
        <w:t xml:space="preserve">Decide which optional modules apply, work through the Site decision register and the </w:t>
      </w:r>
      <w:r>
        <w:rPr>
          <w:b w:val="0"/>
          <w:highlight w:val="green"/>
        </w:rPr>
        <w:t>[DEFAULT]</w:t>
      </w:r>
      <w:r>
        <w:rPr>
          <w:b w:val="0"/>
        </w:rPr>
        <w:t xml:space="preserve"> values, and complete Appendix A for your state.</w:t>
      </w:r>
    </w:p>
    <w:p>
      <w:pPr>
        <w:ind w:left="432" w:hanging="432"/>
      </w:pPr>
      <w:r>
        <w:rPr>
          <w:b/>
        </w:rPr>
        <w:t>4.</w:t>
        <w:tab/>
      </w:r>
      <w:r>
        <w:rPr>
          <w:b w:val="0"/>
        </w:rPr>
        <w:t>Approve under SOP-01, train each role on the SOPs marked Read and train below, then set the effective date.</w:t>
      </w:r>
    </w:p>
    <w:p>
      <w:pPr>
        <w:pStyle w:val="Heading1"/>
      </w:pPr>
      <w:r>
        <w:t>Core SOPs (all sites)</w:t>
      </w:r>
    </w:p>
    <w:tbl>
      <w:tblPr>
        <w:tblStyle w:val="TableGrid"/>
        <w:tblW w:type="auto" w:w="0"/>
        <w:jc w:val="left"/>
        <w:tblLayout w:type="fixed"/>
        <w:tblLook w:firstColumn="1" w:firstRow="1" w:lastColumn="0" w:lastRow="0" w:noHBand="0" w:noVBand="1" w:val="04A0"/>
      </w:tblPr>
      <w:tblGrid>
        <w:gridCol w:w="1350"/>
        <w:gridCol w:w="6753"/>
        <w:gridCol w:w="1543"/>
      </w:tblGrid>
      <w:tr>
        <w:trPr>
          <w:tblHeader w:val="true"/>
        </w:trPr>
        <w:tc>
          <w:tcPr>
            <w:tcW w:type="dxa" w:w="1350"/>
            <w:shd w:val="clear" w:color="auto" w:fill="D9E2F3"/>
          </w:tcPr>
          <w:p>
            <w:pPr>
              <w:spacing w:after="0"/>
            </w:pPr>
            <w:r>
              <w:rPr>
                <w:b/>
                <w:sz w:val="18"/>
              </w:rPr>
              <w:t>Number</w:t>
            </w:r>
          </w:p>
        </w:tc>
        <w:tc>
          <w:tcPr>
            <w:tcW w:type="dxa" w:w="6753"/>
            <w:shd w:val="clear" w:color="auto" w:fill="D9E2F3"/>
          </w:tcPr>
          <w:p>
            <w:pPr>
              <w:spacing w:after="0"/>
            </w:pPr>
            <w:r>
              <w:rPr>
                <w:b/>
                <w:sz w:val="18"/>
              </w:rPr>
              <w:t>Title</w:t>
            </w:r>
          </w:p>
        </w:tc>
        <w:tc>
          <w:tcPr>
            <w:tcW w:type="dxa" w:w="1543"/>
            <w:shd w:val="clear" w:color="auto" w:fill="D9E2F3"/>
          </w:tcPr>
          <w:p>
            <w:pPr>
              <w:spacing w:after="0"/>
            </w:pPr>
            <w:r>
              <w:rPr>
                <w:b/>
                <w:sz w:val="18"/>
              </w:rPr>
              <w:t>Approx. pages</w:t>
            </w:r>
          </w:p>
        </w:tc>
      </w:tr>
      <w:tr>
        <w:trPr>
          <w:cantSplit w:val="true"/>
        </w:trPr>
        <w:tc>
          <w:tcPr>
            <w:tcW w:type="dxa" w:w="1350"/>
          </w:tcPr>
          <w:p>
            <w:pPr>
              <w:spacing w:after="0"/>
            </w:pPr>
            <w:r>
              <w:rPr>
                <w:b w:val="0"/>
                <w:sz w:val="18"/>
              </w:rPr>
              <w:t>SOP-01</w:t>
            </w:r>
          </w:p>
        </w:tc>
        <w:tc>
          <w:tcPr>
            <w:tcW w:type="dxa" w:w="6753"/>
          </w:tcPr>
          <w:p>
            <w:pPr>
              <w:spacing w:after="0"/>
            </w:pPr>
            <w:r>
              <w:rPr>
                <w:b w:val="0"/>
                <w:sz w:val="18"/>
              </w:rPr>
              <w:t>SOP Control, Training and Qualification</w:t>
            </w:r>
          </w:p>
        </w:tc>
        <w:tc>
          <w:tcPr>
            <w:tcW w:type="dxa" w:w="1543"/>
          </w:tcPr>
          <w:p>
            <w:pPr>
              <w:spacing w:after="0"/>
            </w:pPr>
            <w:r>
              <w:rPr>
                <w:b w:val="0"/>
                <w:sz w:val="18"/>
              </w:rPr>
              <w:t>7</w:t>
            </w:r>
          </w:p>
        </w:tc>
      </w:tr>
      <w:tr>
        <w:trPr>
          <w:cantSplit w:val="true"/>
        </w:trPr>
        <w:tc>
          <w:tcPr>
            <w:tcW w:type="dxa" w:w="1350"/>
          </w:tcPr>
          <w:p>
            <w:pPr>
              <w:spacing w:after="0"/>
            </w:pPr>
            <w:r>
              <w:rPr>
                <w:b w:val="0"/>
                <w:sz w:val="18"/>
              </w:rPr>
              <w:t>SOP-02</w:t>
            </w:r>
          </w:p>
        </w:tc>
        <w:tc>
          <w:tcPr>
            <w:tcW w:type="dxa" w:w="6753"/>
          </w:tcPr>
          <w:p>
            <w:pPr>
              <w:spacing w:after="0"/>
            </w:pPr>
            <w:r>
              <w:rPr>
                <w:b w:val="0"/>
                <w:sz w:val="18"/>
              </w:rPr>
              <w:t>Roles, PI Oversight, Delegation and Conflicts of Interest</w:t>
            </w:r>
          </w:p>
        </w:tc>
        <w:tc>
          <w:tcPr>
            <w:tcW w:type="dxa" w:w="1543"/>
          </w:tcPr>
          <w:p>
            <w:pPr>
              <w:spacing w:after="0"/>
            </w:pPr>
            <w:r>
              <w:rPr>
                <w:b w:val="0"/>
                <w:sz w:val="18"/>
              </w:rPr>
              <w:t>7</w:t>
            </w:r>
          </w:p>
        </w:tc>
      </w:tr>
      <w:tr>
        <w:trPr>
          <w:cantSplit w:val="true"/>
        </w:trPr>
        <w:tc>
          <w:tcPr>
            <w:tcW w:type="dxa" w:w="1350"/>
          </w:tcPr>
          <w:p>
            <w:pPr>
              <w:spacing w:after="0"/>
            </w:pPr>
            <w:r>
              <w:rPr>
                <w:b w:val="0"/>
                <w:sz w:val="18"/>
              </w:rPr>
              <w:t>SOP-03</w:t>
            </w:r>
          </w:p>
        </w:tc>
        <w:tc>
          <w:tcPr>
            <w:tcW w:type="dxa" w:w="6753"/>
          </w:tcPr>
          <w:p>
            <w:pPr>
              <w:spacing w:after="0"/>
            </w:pPr>
            <w:r>
              <w:rPr>
                <w:b w:val="0"/>
                <w:sz w:val="18"/>
              </w:rPr>
              <w:t>IRB Oversight, Essential Records and Study Activation</w:t>
            </w:r>
          </w:p>
        </w:tc>
        <w:tc>
          <w:tcPr>
            <w:tcW w:type="dxa" w:w="1543"/>
          </w:tcPr>
          <w:p>
            <w:pPr>
              <w:spacing w:after="0"/>
            </w:pPr>
            <w:r>
              <w:rPr>
                <w:b w:val="0"/>
                <w:sz w:val="18"/>
              </w:rPr>
              <w:t>7</w:t>
            </w:r>
          </w:p>
        </w:tc>
      </w:tr>
      <w:tr>
        <w:trPr>
          <w:cantSplit w:val="true"/>
        </w:trPr>
        <w:tc>
          <w:tcPr>
            <w:tcW w:type="dxa" w:w="1350"/>
          </w:tcPr>
          <w:p>
            <w:pPr>
              <w:spacing w:after="0"/>
            </w:pPr>
            <w:r>
              <w:rPr>
                <w:b w:val="0"/>
                <w:sz w:val="18"/>
              </w:rPr>
              <w:t>SOP-04</w:t>
            </w:r>
          </w:p>
        </w:tc>
        <w:tc>
          <w:tcPr>
            <w:tcW w:type="dxa" w:w="6753"/>
          </w:tcPr>
          <w:p>
            <w:pPr>
              <w:spacing w:after="0"/>
            </w:pPr>
            <w:r>
              <w:rPr>
                <w:b w:val="0"/>
                <w:sz w:val="18"/>
              </w:rPr>
              <w:t>Informed Consent</w:t>
            </w:r>
          </w:p>
        </w:tc>
        <w:tc>
          <w:tcPr>
            <w:tcW w:type="dxa" w:w="1543"/>
          </w:tcPr>
          <w:p>
            <w:pPr>
              <w:spacing w:after="0"/>
            </w:pPr>
            <w:r>
              <w:rPr>
                <w:b w:val="0"/>
                <w:sz w:val="18"/>
              </w:rPr>
              <w:t>9</w:t>
            </w:r>
          </w:p>
        </w:tc>
      </w:tr>
      <w:tr>
        <w:trPr>
          <w:cantSplit w:val="true"/>
        </w:trPr>
        <w:tc>
          <w:tcPr>
            <w:tcW w:type="dxa" w:w="1350"/>
          </w:tcPr>
          <w:p>
            <w:pPr>
              <w:spacing w:after="0"/>
            </w:pPr>
            <w:r>
              <w:rPr>
                <w:b w:val="0"/>
                <w:sz w:val="18"/>
              </w:rPr>
              <w:t>SOP-05</w:t>
            </w:r>
          </w:p>
        </w:tc>
        <w:tc>
          <w:tcPr>
            <w:tcW w:type="dxa" w:w="6753"/>
          </w:tcPr>
          <w:p>
            <w:pPr>
              <w:spacing w:after="0"/>
            </w:pPr>
            <w:r>
              <w:rPr>
                <w:b w:val="0"/>
                <w:sz w:val="18"/>
              </w:rPr>
              <w:t>Pre-Screening, Screening, Eligibility, Randomization and Blinding</w:t>
            </w:r>
          </w:p>
        </w:tc>
        <w:tc>
          <w:tcPr>
            <w:tcW w:type="dxa" w:w="1543"/>
          </w:tcPr>
          <w:p>
            <w:pPr>
              <w:spacing w:after="0"/>
            </w:pPr>
            <w:r>
              <w:rPr>
                <w:b w:val="0"/>
                <w:sz w:val="18"/>
              </w:rPr>
              <w:t>7</w:t>
            </w:r>
          </w:p>
        </w:tc>
      </w:tr>
      <w:tr>
        <w:trPr>
          <w:cantSplit w:val="true"/>
        </w:trPr>
        <w:tc>
          <w:tcPr>
            <w:tcW w:type="dxa" w:w="1350"/>
          </w:tcPr>
          <w:p>
            <w:pPr>
              <w:spacing w:after="0"/>
            </w:pPr>
            <w:r>
              <w:rPr>
                <w:b w:val="0"/>
                <w:sz w:val="18"/>
              </w:rPr>
              <w:t>SOP-06</w:t>
            </w:r>
          </w:p>
        </w:tc>
        <w:tc>
          <w:tcPr>
            <w:tcW w:type="dxa" w:w="6753"/>
          </w:tcPr>
          <w:p>
            <w:pPr>
              <w:spacing w:after="0"/>
            </w:pPr>
            <w:r>
              <w:rPr>
                <w:b w:val="0"/>
                <w:sz w:val="18"/>
              </w:rPr>
              <w:t>Investigational Product Management</w:t>
            </w:r>
          </w:p>
        </w:tc>
        <w:tc>
          <w:tcPr>
            <w:tcW w:type="dxa" w:w="1543"/>
          </w:tcPr>
          <w:p>
            <w:pPr>
              <w:spacing w:after="0"/>
            </w:pPr>
            <w:r>
              <w:rPr>
                <w:b w:val="0"/>
                <w:sz w:val="18"/>
              </w:rPr>
              <w:t>7</w:t>
            </w:r>
          </w:p>
        </w:tc>
      </w:tr>
      <w:tr>
        <w:trPr>
          <w:cantSplit w:val="true"/>
        </w:trPr>
        <w:tc>
          <w:tcPr>
            <w:tcW w:type="dxa" w:w="1350"/>
          </w:tcPr>
          <w:p>
            <w:pPr>
              <w:spacing w:after="0"/>
            </w:pPr>
            <w:r>
              <w:rPr>
                <w:b w:val="0"/>
                <w:sz w:val="18"/>
              </w:rPr>
              <w:t>SOP-07</w:t>
            </w:r>
          </w:p>
        </w:tc>
        <w:tc>
          <w:tcPr>
            <w:tcW w:type="dxa" w:w="6753"/>
          </w:tcPr>
          <w:p>
            <w:pPr>
              <w:spacing w:after="0"/>
            </w:pPr>
            <w:r>
              <w:rPr>
                <w:b w:val="0"/>
                <w:sz w:val="18"/>
              </w:rPr>
              <w:t>Source Documentation and EDC</w:t>
            </w:r>
          </w:p>
        </w:tc>
        <w:tc>
          <w:tcPr>
            <w:tcW w:type="dxa" w:w="1543"/>
          </w:tcPr>
          <w:p>
            <w:pPr>
              <w:spacing w:after="0"/>
            </w:pPr>
            <w:r>
              <w:rPr>
                <w:b w:val="0"/>
                <w:sz w:val="18"/>
              </w:rPr>
              <w:t>6</w:t>
            </w:r>
          </w:p>
        </w:tc>
      </w:tr>
      <w:tr>
        <w:trPr>
          <w:cantSplit w:val="true"/>
        </w:trPr>
        <w:tc>
          <w:tcPr>
            <w:tcW w:type="dxa" w:w="1350"/>
          </w:tcPr>
          <w:p>
            <w:pPr>
              <w:spacing w:after="0"/>
            </w:pPr>
            <w:r>
              <w:rPr>
                <w:b w:val="0"/>
                <w:sz w:val="18"/>
              </w:rPr>
              <w:t>SOP-08</w:t>
            </w:r>
          </w:p>
        </w:tc>
        <w:tc>
          <w:tcPr>
            <w:tcW w:type="dxa" w:w="6753"/>
          </w:tcPr>
          <w:p>
            <w:pPr>
              <w:spacing w:after="0"/>
            </w:pPr>
            <w:r>
              <w:rPr>
                <w:b w:val="0"/>
                <w:sz w:val="18"/>
              </w:rPr>
              <w:t>Protocol Deviations and CAPA</w:t>
            </w:r>
          </w:p>
        </w:tc>
        <w:tc>
          <w:tcPr>
            <w:tcW w:type="dxa" w:w="1543"/>
          </w:tcPr>
          <w:p>
            <w:pPr>
              <w:spacing w:after="0"/>
            </w:pPr>
            <w:r>
              <w:rPr>
                <w:b w:val="0"/>
                <w:sz w:val="18"/>
              </w:rPr>
              <w:t>7</w:t>
            </w:r>
          </w:p>
        </w:tc>
      </w:tr>
      <w:tr>
        <w:trPr>
          <w:cantSplit w:val="true"/>
        </w:trPr>
        <w:tc>
          <w:tcPr>
            <w:tcW w:type="dxa" w:w="1350"/>
          </w:tcPr>
          <w:p>
            <w:pPr>
              <w:spacing w:after="0"/>
            </w:pPr>
            <w:r>
              <w:rPr>
                <w:b w:val="0"/>
                <w:sz w:val="18"/>
              </w:rPr>
              <w:t>SOP-09</w:t>
            </w:r>
          </w:p>
        </w:tc>
        <w:tc>
          <w:tcPr>
            <w:tcW w:type="dxa" w:w="6753"/>
          </w:tcPr>
          <w:p>
            <w:pPr>
              <w:spacing w:after="0"/>
            </w:pPr>
            <w:r>
              <w:rPr>
                <w:b w:val="0"/>
                <w:sz w:val="18"/>
              </w:rPr>
              <w:t>Safety Reporting (AEs, SAEs, IRB-Reportable Events, Pregnancy)</w:t>
            </w:r>
          </w:p>
        </w:tc>
        <w:tc>
          <w:tcPr>
            <w:tcW w:type="dxa" w:w="1543"/>
          </w:tcPr>
          <w:p>
            <w:pPr>
              <w:spacing w:after="0"/>
            </w:pPr>
            <w:r>
              <w:rPr>
                <w:b w:val="0"/>
                <w:sz w:val="18"/>
              </w:rPr>
              <w:t>9</w:t>
            </w:r>
          </w:p>
        </w:tc>
      </w:tr>
      <w:tr>
        <w:trPr>
          <w:cantSplit w:val="true"/>
        </w:trPr>
        <w:tc>
          <w:tcPr>
            <w:tcW w:type="dxa" w:w="1350"/>
          </w:tcPr>
          <w:p>
            <w:pPr>
              <w:spacing w:after="0"/>
            </w:pPr>
            <w:r>
              <w:rPr>
                <w:b w:val="0"/>
                <w:sz w:val="18"/>
              </w:rPr>
              <w:t>SOP-10</w:t>
            </w:r>
          </w:p>
        </w:tc>
        <w:tc>
          <w:tcPr>
            <w:tcW w:type="dxa" w:w="6753"/>
          </w:tcPr>
          <w:p>
            <w:pPr>
              <w:spacing w:after="0"/>
            </w:pPr>
            <w:r>
              <w:rPr>
                <w:b w:val="0"/>
                <w:sz w:val="18"/>
              </w:rPr>
              <w:t>Participant Retention, Withdrawal and Payments</w:t>
            </w:r>
          </w:p>
        </w:tc>
        <w:tc>
          <w:tcPr>
            <w:tcW w:type="dxa" w:w="1543"/>
          </w:tcPr>
          <w:p>
            <w:pPr>
              <w:spacing w:after="0"/>
            </w:pPr>
            <w:r>
              <w:rPr>
                <w:b w:val="0"/>
                <w:sz w:val="18"/>
              </w:rPr>
              <w:t>6</w:t>
            </w:r>
          </w:p>
        </w:tc>
      </w:tr>
      <w:tr>
        <w:trPr>
          <w:cantSplit w:val="true"/>
        </w:trPr>
        <w:tc>
          <w:tcPr>
            <w:tcW w:type="dxa" w:w="1350"/>
          </w:tcPr>
          <w:p>
            <w:pPr>
              <w:spacing w:after="0"/>
            </w:pPr>
            <w:r>
              <w:rPr>
                <w:b w:val="0"/>
                <w:sz w:val="18"/>
              </w:rPr>
              <w:t>SOP-11</w:t>
            </w:r>
          </w:p>
        </w:tc>
        <w:tc>
          <w:tcPr>
            <w:tcW w:type="dxa" w:w="6753"/>
          </w:tcPr>
          <w:p>
            <w:pPr>
              <w:spacing w:after="0"/>
            </w:pPr>
            <w:r>
              <w:rPr>
                <w:b w:val="0"/>
                <w:sz w:val="18"/>
              </w:rPr>
              <w:t>Specimens, Equipment and Laboratories</w:t>
            </w:r>
          </w:p>
        </w:tc>
        <w:tc>
          <w:tcPr>
            <w:tcW w:type="dxa" w:w="1543"/>
          </w:tcPr>
          <w:p>
            <w:pPr>
              <w:spacing w:after="0"/>
            </w:pPr>
            <w:r>
              <w:rPr>
                <w:b w:val="0"/>
                <w:sz w:val="18"/>
              </w:rPr>
              <w:t>7</w:t>
            </w:r>
          </w:p>
        </w:tc>
      </w:tr>
      <w:tr>
        <w:trPr>
          <w:cantSplit w:val="true"/>
        </w:trPr>
        <w:tc>
          <w:tcPr>
            <w:tcW w:type="dxa" w:w="1350"/>
          </w:tcPr>
          <w:p>
            <w:pPr>
              <w:spacing w:after="0"/>
            </w:pPr>
            <w:r>
              <w:rPr>
                <w:b w:val="0"/>
                <w:sz w:val="18"/>
              </w:rPr>
              <w:t>SOP-12</w:t>
            </w:r>
          </w:p>
        </w:tc>
        <w:tc>
          <w:tcPr>
            <w:tcW w:type="dxa" w:w="6753"/>
          </w:tcPr>
          <w:p>
            <w:pPr>
              <w:spacing w:after="0"/>
            </w:pPr>
            <w:r>
              <w:rPr>
                <w:b w:val="0"/>
                <w:sz w:val="18"/>
              </w:rPr>
              <w:t>Privacy, Electronic Systems and Record Retention</w:t>
            </w:r>
          </w:p>
        </w:tc>
        <w:tc>
          <w:tcPr>
            <w:tcW w:type="dxa" w:w="1543"/>
          </w:tcPr>
          <w:p>
            <w:pPr>
              <w:spacing w:after="0"/>
            </w:pPr>
            <w:r>
              <w:rPr>
                <w:b w:val="0"/>
                <w:sz w:val="18"/>
              </w:rPr>
              <w:t>7</w:t>
            </w:r>
          </w:p>
        </w:tc>
      </w:tr>
      <w:tr>
        <w:trPr>
          <w:cantSplit w:val="true"/>
        </w:trPr>
        <w:tc>
          <w:tcPr>
            <w:tcW w:type="dxa" w:w="1350"/>
          </w:tcPr>
          <w:p>
            <w:pPr>
              <w:spacing w:after="0"/>
            </w:pPr>
            <w:r>
              <w:rPr>
                <w:b w:val="0"/>
                <w:sz w:val="18"/>
              </w:rPr>
              <w:t>SOP-13</w:t>
            </w:r>
          </w:p>
        </w:tc>
        <w:tc>
          <w:tcPr>
            <w:tcW w:type="dxa" w:w="6753"/>
          </w:tcPr>
          <w:p>
            <w:pPr>
              <w:spacing w:after="0"/>
            </w:pPr>
            <w:r>
              <w:rPr>
                <w:b w:val="0"/>
                <w:sz w:val="18"/>
              </w:rPr>
              <w:t>Monitoring, Audits and Inspections</w:t>
            </w:r>
          </w:p>
        </w:tc>
        <w:tc>
          <w:tcPr>
            <w:tcW w:type="dxa" w:w="1543"/>
          </w:tcPr>
          <w:p>
            <w:pPr>
              <w:spacing w:after="0"/>
            </w:pPr>
            <w:r>
              <w:rPr>
                <w:b w:val="0"/>
                <w:sz w:val="18"/>
              </w:rPr>
              <w:t>7</w:t>
            </w:r>
          </w:p>
        </w:tc>
      </w:tr>
      <w:tr>
        <w:trPr>
          <w:cantSplit w:val="true"/>
        </w:trPr>
        <w:tc>
          <w:tcPr>
            <w:tcW w:type="dxa" w:w="1350"/>
          </w:tcPr>
          <w:p>
            <w:pPr>
              <w:spacing w:after="0"/>
            </w:pPr>
            <w:r>
              <w:rPr>
                <w:b w:val="0"/>
                <w:sz w:val="18"/>
              </w:rPr>
              <w:t>SOP-14</w:t>
            </w:r>
          </w:p>
        </w:tc>
        <w:tc>
          <w:tcPr>
            <w:tcW w:type="dxa" w:w="6753"/>
          </w:tcPr>
          <w:p>
            <w:pPr>
              <w:spacing w:after="0"/>
            </w:pPr>
            <w:r>
              <w:rPr>
                <w:b w:val="0"/>
                <w:sz w:val="18"/>
              </w:rPr>
              <w:t>Quality Control and Quality Review</w:t>
            </w:r>
          </w:p>
        </w:tc>
        <w:tc>
          <w:tcPr>
            <w:tcW w:type="dxa" w:w="1543"/>
          </w:tcPr>
          <w:p>
            <w:pPr>
              <w:spacing w:after="0"/>
            </w:pPr>
            <w:r>
              <w:rPr>
                <w:b w:val="0"/>
                <w:sz w:val="18"/>
              </w:rPr>
              <w:t>12</w:t>
            </w:r>
          </w:p>
        </w:tc>
      </w:tr>
      <w:tr>
        <w:trPr>
          <w:cantSplit w:val="true"/>
        </w:trPr>
        <w:tc>
          <w:tcPr>
            <w:tcW w:type="dxa" w:w="1350"/>
          </w:tcPr>
          <w:p>
            <w:pPr>
              <w:spacing w:after="0"/>
            </w:pPr>
            <w:r>
              <w:rPr>
                <w:b w:val="0"/>
                <w:sz w:val="18"/>
              </w:rPr>
              <w:t>SOP-15</w:t>
            </w:r>
          </w:p>
        </w:tc>
        <w:tc>
          <w:tcPr>
            <w:tcW w:type="dxa" w:w="6753"/>
          </w:tcPr>
          <w:p>
            <w:pPr>
              <w:spacing w:after="0"/>
            </w:pPr>
            <w:r>
              <w:rPr>
                <w:b w:val="0"/>
                <w:sz w:val="18"/>
              </w:rPr>
              <w:t>Study Closeout</w:t>
            </w:r>
          </w:p>
        </w:tc>
        <w:tc>
          <w:tcPr>
            <w:tcW w:type="dxa" w:w="1543"/>
          </w:tcPr>
          <w:p>
            <w:pPr>
              <w:spacing w:after="0"/>
            </w:pPr>
            <w:r>
              <w:rPr>
                <w:b w:val="0"/>
                <w:sz w:val="18"/>
              </w:rPr>
              <w:t>5</w:t>
            </w:r>
          </w:p>
        </w:tc>
      </w:tr>
      <w:tr>
        <w:trPr>
          <w:cantSplit w:val="true"/>
        </w:trPr>
        <w:tc>
          <w:tcPr>
            <w:tcW w:type="dxa" w:w="1350"/>
          </w:tcPr>
          <w:p>
            <w:pPr>
              <w:spacing w:after="0"/>
            </w:pPr>
            <w:r>
              <w:rPr>
                <w:b w:val="0"/>
                <w:sz w:val="18"/>
              </w:rPr>
              <w:t>SOP-16</w:t>
            </w:r>
          </w:p>
        </w:tc>
        <w:tc>
          <w:tcPr>
            <w:tcW w:type="dxa" w:w="6753"/>
          </w:tcPr>
          <w:p>
            <w:pPr>
              <w:spacing w:after="0"/>
            </w:pPr>
            <w:r>
              <w:rPr>
                <w:b w:val="0"/>
                <w:sz w:val="18"/>
              </w:rPr>
              <w:t>Business Continuity and PI Coverage</w:t>
            </w:r>
          </w:p>
        </w:tc>
        <w:tc>
          <w:tcPr>
            <w:tcW w:type="dxa" w:w="1543"/>
          </w:tcPr>
          <w:p>
            <w:pPr>
              <w:spacing w:after="0"/>
            </w:pPr>
            <w:r>
              <w:rPr>
                <w:b w:val="0"/>
                <w:sz w:val="18"/>
              </w:rPr>
              <w:t>7</w:t>
            </w:r>
          </w:p>
        </w:tc>
      </w:tr>
    </w:tbl>
    <w:p>
      <w:pPr>
        <w:spacing w:after="40"/>
      </w:pPr>
    </w:p>
    <w:p>
      <w:pPr>
        <w:pStyle w:val="Heading1"/>
      </w:pPr>
      <w:r>
        <w:t>Modules (adopt when the site does the activity; most sites adopt SOP-M1 and SOP-M2)</w:t>
      </w:r>
    </w:p>
    <w:tbl>
      <w:tblPr>
        <w:tblStyle w:val="TableGrid"/>
        <w:tblW w:type="auto" w:w="0"/>
        <w:jc w:val="left"/>
        <w:tblLayout w:type="fixed"/>
        <w:tblLook w:firstColumn="1" w:firstRow="1" w:lastColumn="0" w:lastRow="0" w:noHBand="0" w:noVBand="1" w:val="04A0"/>
      </w:tblPr>
      <w:tblGrid>
        <w:gridCol w:w="1350"/>
        <w:gridCol w:w="6753"/>
        <w:gridCol w:w="1543"/>
      </w:tblGrid>
      <w:tr>
        <w:trPr>
          <w:tblHeader w:val="true"/>
        </w:trPr>
        <w:tc>
          <w:tcPr>
            <w:tcW w:type="dxa" w:w="1350"/>
            <w:shd w:val="clear" w:color="auto" w:fill="D9E2F3"/>
          </w:tcPr>
          <w:p>
            <w:pPr>
              <w:keepNext/>
              <w:spacing w:after="0"/>
            </w:pPr>
            <w:r>
              <w:rPr>
                <w:b/>
                <w:sz w:val="18"/>
              </w:rPr>
              <w:t>Number</w:t>
            </w:r>
          </w:p>
        </w:tc>
        <w:tc>
          <w:tcPr>
            <w:tcW w:type="dxa" w:w="6753"/>
            <w:shd w:val="clear" w:color="auto" w:fill="D9E2F3"/>
          </w:tcPr>
          <w:p>
            <w:pPr>
              <w:keepNext/>
              <w:spacing w:after="0"/>
            </w:pPr>
            <w:r>
              <w:rPr>
                <w:b/>
                <w:sz w:val="18"/>
              </w:rPr>
              <w:t>Title</w:t>
            </w:r>
          </w:p>
        </w:tc>
        <w:tc>
          <w:tcPr>
            <w:tcW w:type="dxa" w:w="1543"/>
            <w:shd w:val="clear" w:color="auto" w:fill="D9E2F3"/>
          </w:tcPr>
          <w:p>
            <w:pPr>
              <w:keepNext/>
              <w:spacing w:after="0"/>
            </w:pPr>
            <w:r>
              <w:rPr>
                <w:b/>
                <w:sz w:val="18"/>
              </w:rPr>
              <w:t>Approx. pages</w:t>
            </w:r>
          </w:p>
        </w:tc>
      </w:tr>
      <w:tr>
        <w:trPr>
          <w:cantSplit w:val="true"/>
        </w:trPr>
        <w:tc>
          <w:tcPr>
            <w:tcW w:type="dxa" w:w="1350"/>
          </w:tcPr>
          <w:p>
            <w:pPr>
              <w:keepNext/>
              <w:spacing w:after="0"/>
            </w:pPr>
            <w:r>
              <w:rPr>
                <w:b w:val="0"/>
                <w:sz w:val="18"/>
              </w:rPr>
              <w:t>SOP-M1</w:t>
            </w:r>
          </w:p>
        </w:tc>
        <w:tc>
          <w:tcPr>
            <w:tcW w:type="dxa" w:w="6753"/>
          </w:tcPr>
          <w:p>
            <w:pPr>
              <w:keepNext/>
              <w:spacing w:after="0"/>
            </w:pPr>
            <w:r>
              <w:rPr>
                <w:b w:val="0"/>
                <w:sz w:val="18"/>
              </w:rPr>
              <w:t>Service Providers and Vendors</w:t>
            </w:r>
          </w:p>
        </w:tc>
        <w:tc>
          <w:tcPr>
            <w:tcW w:type="dxa" w:w="1543"/>
          </w:tcPr>
          <w:p>
            <w:pPr>
              <w:keepNext/>
              <w:spacing w:after="0"/>
            </w:pPr>
            <w:r>
              <w:rPr>
                <w:b w:val="0"/>
                <w:sz w:val="18"/>
              </w:rPr>
              <w:t>6</w:t>
            </w:r>
          </w:p>
        </w:tc>
      </w:tr>
      <w:tr>
        <w:trPr>
          <w:cantSplit w:val="true"/>
        </w:trPr>
        <w:tc>
          <w:tcPr>
            <w:tcW w:type="dxa" w:w="1350"/>
          </w:tcPr>
          <w:p>
            <w:pPr>
              <w:keepNext/>
              <w:spacing w:after="0"/>
            </w:pPr>
            <w:r>
              <w:rPr>
                <w:b w:val="0"/>
                <w:sz w:val="18"/>
              </w:rPr>
              <w:t>SOP-M2</w:t>
            </w:r>
          </w:p>
        </w:tc>
        <w:tc>
          <w:tcPr>
            <w:tcW w:type="dxa" w:w="6753"/>
          </w:tcPr>
          <w:p>
            <w:pPr>
              <w:keepNext/>
              <w:spacing w:after="0"/>
            </w:pPr>
            <w:r>
              <w:rPr>
                <w:b w:val="0"/>
                <w:sz w:val="18"/>
              </w:rPr>
              <w:t>Feasibility, Contracts, Budgets and Research Billing</w:t>
            </w:r>
          </w:p>
        </w:tc>
        <w:tc>
          <w:tcPr>
            <w:tcW w:type="dxa" w:w="1543"/>
          </w:tcPr>
          <w:p>
            <w:pPr>
              <w:keepNext/>
              <w:spacing w:after="0"/>
            </w:pPr>
            <w:r>
              <w:rPr>
                <w:b w:val="0"/>
                <w:sz w:val="18"/>
              </w:rPr>
              <w:t>8</w:t>
            </w:r>
          </w:p>
        </w:tc>
      </w:tr>
      <w:tr>
        <w:trPr>
          <w:cantSplit w:val="true"/>
        </w:trPr>
        <w:tc>
          <w:tcPr>
            <w:tcW w:type="dxa" w:w="1350"/>
          </w:tcPr>
          <w:p>
            <w:pPr>
              <w:keepNext/>
              <w:spacing w:after="0"/>
            </w:pPr>
            <w:r>
              <w:rPr>
                <w:b w:val="0"/>
                <w:sz w:val="18"/>
              </w:rPr>
              <w:t>SOP-M3</w:t>
            </w:r>
          </w:p>
        </w:tc>
        <w:tc>
          <w:tcPr>
            <w:tcW w:type="dxa" w:w="6753"/>
          </w:tcPr>
          <w:p>
            <w:pPr>
              <w:keepNext/>
              <w:spacing w:after="0"/>
            </w:pPr>
            <w:r>
              <w:rPr>
                <w:b w:val="0"/>
                <w:sz w:val="18"/>
              </w:rPr>
              <w:t>Recruitment and Advertising</w:t>
            </w:r>
          </w:p>
        </w:tc>
        <w:tc>
          <w:tcPr>
            <w:tcW w:type="dxa" w:w="1543"/>
          </w:tcPr>
          <w:p>
            <w:pPr>
              <w:keepNext/>
              <w:spacing w:after="0"/>
            </w:pPr>
            <w:r>
              <w:rPr>
                <w:b w:val="0"/>
                <w:sz w:val="18"/>
              </w:rPr>
              <w:t>4</w:t>
            </w:r>
          </w:p>
        </w:tc>
      </w:tr>
      <w:tr>
        <w:trPr>
          <w:cantSplit w:val="true"/>
        </w:trPr>
        <w:tc>
          <w:tcPr>
            <w:tcW w:type="dxa" w:w="1350"/>
          </w:tcPr>
          <w:p>
            <w:pPr>
              <w:keepNext/>
              <w:spacing w:after="0"/>
            </w:pPr>
            <w:r>
              <w:rPr>
                <w:b w:val="0"/>
                <w:sz w:val="18"/>
              </w:rPr>
              <w:t>SOP-M4</w:t>
            </w:r>
          </w:p>
        </w:tc>
        <w:tc>
          <w:tcPr>
            <w:tcW w:type="dxa" w:w="6753"/>
          </w:tcPr>
          <w:p>
            <w:pPr>
              <w:keepNext/>
              <w:spacing w:after="0"/>
            </w:pPr>
            <w:r>
              <w:rPr>
                <w:b w:val="0"/>
                <w:sz w:val="18"/>
              </w:rPr>
              <w:t>Decentralized Trial Elements</w:t>
            </w:r>
          </w:p>
        </w:tc>
        <w:tc>
          <w:tcPr>
            <w:tcW w:type="dxa" w:w="1543"/>
          </w:tcPr>
          <w:p>
            <w:pPr>
              <w:keepNext/>
              <w:spacing w:after="0"/>
            </w:pPr>
            <w:r>
              <w:rPr>
                <w:b w:val="0"/>
                <w:sz w:val="18"/>
              </w:rPr>
              <w:t>5</w:t>
            </w:r>
          </w:p>
        </w:tc>
      </w:tr>
      <w:tr>
        <w:trPr>
          <w:cantSplit w:val="true"/>
        </w:trPr>
        <w:tc>
          <w:tcPr>
            <w:tcW w:type="dxa" w:w="1350"/>
          </w:tcPr>
          <w:p>
            <w:pPr>
              <w:keepNext/>
              <w:spacing w:after="0"/>
            </w:pPr>
            <w:r>
              <w:rPr>
                <w:b w:val="0"/>
                <w:sz w:val="18"/>
              </w:rPr>
              <w:t>SOP-M5</w:t>
            </w:r>
          </w:p>
        </w:tc>
        <w:tc>
          <w:tcPr>
            <w:tcW w:type="dxa" w:w="6753"/>
          </w:tcPr>
          <w:p>
            <w:pPr>
              <w:keepNext/>
              <w:spacing w:after="0"/>
            </w:pPr>
            <w:r>
              <w:rPr>
                <w:b w:val="0"/>
                <w:sz w:val="18"/>
              </w:rPr>
              <w:t>Research Integrity and Misconduct Reporting</w:t>
            </w:r>
          </w:p>
        </w:tc>
        <w:tc>
          <w:tcPr>
            <w:tcW w:type="dxa" w:w="1543"/>
          </w:tcPr>
          <w:p>
            <w:pPr>
              <w:keepNext/>
              <w:spacing w:after="0"/>
            </w:pPr>
            <w:r>
              <w:rPr>
                <w:b w:val="0"/>
                <w:sz w:val="18"/>
              </w:rPr>
              <w:t>4</w:t>
            </w:r>
          </w:p>
        </w:tc>
      </w:tr>
      <w:tr>
        <w:trPr>
          <w:cantSplit w:val="true"/>
        </w:trPr>
        <w:tc>
          <w:tcPr>
            <w:tcW w:type="dxa" w:w="1350"/>
          </w:tcPr>
          <w:p>
            <w:pPr>
              <w:spacing w:after="0"/>
            </w:pPr>
            <w:r>
              <w:rPr>
                <w:b w:val="0"/>
                <w:sz w:val="18"/>
              </w:rPr>
              <w:t>SOP-M6</w:t>
            </w:r>
          </w:p>
        </w:tc>
        <w:tc>
          <w:tcPr>
            <w:tcW w:type="dxa" w:w="6753"/>
          </w:tcPr>
          <w:p>
            <w:pPr>
              <w:spacing w:after="0"/>
            </w:pPr>
            <w:r>
              <w:rPr>
                <w:b w:val="0"/>
                <w:sz w:val="18"/>
              </w:rPr>
              <w:t>Sponsor-Investigator Studies (IND/IDE Holder)</w:t>
            </w:r>
          </w:p>
        </w:tc>
        <w:tc>
          <w:tcPr>
            <w:tcW w:type="dxa" w:w="1543"/>
          </w:tcPr>
          <w:p>
            <w:pPr>
              <w:spacing w:after="0"/>
            </w:pPr>
            <w:r>
              <w:rPr>
                <w:b w:val="0"/>
                <w:sz w:val="18"/>
              </w:rPr>
              <w:t>6</w:t>
            </w:r>
          </w:p>
        </w:tc>
      </w:tr>
    </w:tbl>
    <w:p>
      <w:pPr>
        <w:spacing w:after="40"/>
      </w:pPr>
    </w:p>
    <w:p>
      <w:pPr>
        <w:pStyle w:val="Heading1"/>
      </w:pPr>
      <w:r>
        <w:t>Who reads what</w:t>
      </w:r>
    </w:p>
    <w:p>
      <w:r>
        <w:rPr>
          <w:b w:val="0"/>
        </w:rPr>
        <w:t>Module roles outside the matrix read and train on their module: Provider Owner (SOP-M1); feasibility owner and billing staff or billing service (SOP-M2); Recruitment Specialist and Privacy Officer (SOP-M3).</w:t>
      </w:r>
    </w:p>
    <w:tbl>
      <w:tblPr>
        <w:tblStyle w:val="TableGrid"/>
        <w:tblW w:type="auto" w:w="0"/>
        <w:jc w:val="left"/>
        <w:tblLayout w:type="fixed"/>
        <w:tblLook w:firstColumn="1" w:firstRow="1" w:lastColumn="0" w:lastRow="0" w:noHBand="0" w:noVBand="1" w:val="04A0"/>
      </w:tblPr>
      <w:tblGrid>
        <w:gridCol w:w="2894"/>
        <w:gridCol w:w="964"/>
        <w:gridCol w:w="964"/>
        <w:gridCol w:w="964"/>
        <w:gridCol w:w="964"/>
        <w:gridCol w:w="964"/>
        <w:gridCol w:w="964"/>
        <w:gridCol w:w="964"/>
      </w:tblGrid>
      <w:tr>
        <w:trPr>
          <w:tblHeader w:val="true"/>
        </w:trPr>
        <w:tc>
          <w:tcPr>
            <w:tcW w:type="dxa" w:w="2894"/>
            <w:shd w:val="clear" w:color="auto" w:fill="D9E2F3"/>
          </w:tcPr>
          <w:p>
            <w:pPr>
              <w:spacing w:after="0"/>
            </w:pPr>
            <w:r>
              <w:rPr>
                <w:b/>
                <w:sz w:val="17"/>
              </w:rPr>
              <w:t>Role</w:t>
            </w:r>
          </w:p>
        </w:tc>
        <w:tc>
          <w:tcPr>
            <w:tcW w:type="dxa" w:w="964"/>
            <w:shd w:val="clear" w:color="auto" w:fill="D9E2F3"/>
          </w:tcPr>
          <w:p>
            <w:pPr>
              <w:spacing w:after="0"/>
            </w:pPr>
            <w:r>
              <w:rPr>
                <w:b/>
                <w:sz w:val="17"/>
              </w:rPr>
              <w:t>PI / Sub-I</w:t>
            </w:r>
          </w:p>
        </w:tc>
        <w:tc>
          <w:tcPr>
            <w:tcW w:type="dxa" w:w="964"/>
            <w:shd w:val="clear" w:color="auto" w:fill="D9E2F3"/>
          </w:tcPr>
          <w:p>
            <w:pPr>
              <w:spacing w:after="0"/>
            </w:pPr>
            <w:r>
              <w:rPr>
                <w:b/>
                <w:sz w:val="17"/>
              </w:rPr>
              <w:t>Site Director</w:t>
            </w:r>
          </w:p>
        </w:tc>
        <w:tc>
          <w:tcPr>
            <w:tcW w:type="dxa" w:w="964"/>
            <w:shd w:val="clear" w:color="auto" w:fill="D9E2F3"/>
          </w:tcPr>
          <w:p>
            <w:pPr>
              <w:spacing w:after="0"/>
            </w:pPr>
            <w:r>
              <w:rPr>
                <w:b/>
                <w:sz w:val="17"/>
              </w:rPr>
              <w:t>Quality Lead</w:t>
            </w:r>
          </w:p>
        </w:tc>
        <w:tc>
          <w:tcPr>
            <w:tcW w:type="dxa" w:w="964"/>
            <w:shd w:val="clear" w:color="auto" w:fill="D9E2F3"/>
          </w:tcPr>
          <w:p>
            <w:pPr>
              <w:spacing w:after="0"/>
            </w:pPr>
            <w:r>
              <w:rPr>
                <w:b/>
                <w:sz w:val="17"/>
              </w:rPr>
              <w:t>Reg. Coord.</w:t>
            </w:r>
          </w:p>
        </w:tc>
        <w:tc>
          <w:tcPr>
            <w:tcW w:type="dxa" w:w="964"/>
            <w:shd w:val="clear" w:color="auto" w:fill="D9E2F3"/>
          </w:tcPr>
          <w:p>
            <w:pPr>
              <w:spacing w:after="0"/>
            </w:pPr>
            <w:r>
              <w:rPr>
                <w:b/>
                <w:sz w:val="17"/>
              </w:rPr>
              <w:t>CRC</w:t>
            </w:r>
          </w:p>
        </w:tc>
        <w:tc>
          <w:tcPr>
            <w:tcW w:type="dxa" w:w="964"/>
            <w:shd w:val="clear" w:color="auto" w:fill="D9E2F3"/>
          </w:tcPr>
          <w:p>
            <w:pPr>
              <w:spacing w:after="0"/>
            </w:pPr>
            <w:r>
              <w:rPr>
                <w:b/>
                <w:sz w:val="17"/>
              </w:rPr>
              <w:t>IP Manager</w:t>
            </w:r>
          </w:p>
        </w:tc>
        <w:tc>
          <w:tcPr>
            <w:tcW w:type="dxa" w:w="964"/>
            <w:shd w:val="clear" w:color="auto" w:fill="D9E2F3"/>
          </w:tcPr>
          <w:p>
            <w:pPr>
              <w:spacing w:after="0"/>
            </w:pPr>
            <w:r>
              <w:rPr>
                <w:b/>
                <w:sz w:val="17"/>
              </w:rPr>
              <w:t>Finance / Contracts</w:t>
            </w:r>
          </w:p>
        </w:tc>
      </w:tr>
      <w:tr>
        <w:trPr>
          <w:cantSplit w:val="true"/>
        </w:trPr>
        <w:tc>
          <w:tcPr>
            <w:tcW w:type="dxa" w:w="2894"/>
          </w:tcPr>
          <w:p>
            <w:pPr>
              <w:spacing w:after="0"/>
            </w:pPr>
            <w:r>
              <w:rPr>
                <w:b w:val="0"/>
                <w:sz w:val="17"/>
              </w:rPr>
              <w:t>SOP-01 SOP control, training</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r>
      <w:tr>
        <w:trPr>
          <w:cantSplit w:val="true"/>
        </w:trPr>
        <w:tc>
          <w:tcPr>
            <w:tcW w:type="dxa" w:w="2894"/>
          </w:tcPr>
          <w:p>
            <w:pPr>
              <w:spacing w:after="0"/>
            </w:pPr>
            <w:r>
              <w:rPr>
                <w:b w:val="0"/>
                <w:sz w:val="17"/>
              </w:rPr>
              <w:t>SOP-02 Roles, oversight, delegation, COI</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r>
      <w:tr>
        <w:trPr>
          <w:cantSplit w:val="true"/>
        </w:trPr>
        <w:tc>
          <w:tcPr>
            <w:tcW w:type="dxa" w:w="2894"/>
          </w:tcPr>
          <w:p>
            <w:pPr>
              <w:spacing w:after="0"/>
            </w:pPr>
            <w:r>
              <w:rPr>
                <w:b w:val="0"/>
                <w:sz w:val="17"/>
              </w:rPr>
              <w:t>SOP-03 IRB, essential records, activation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r>
      <w:tr>
        <w:trPr>
          <w:cantSplit w:val="true"/>
          <w:trHeight w:val="432"/>
        </w:trPr>
        <w:tc>
          <w:tcPr>
            <w:tcW w:type="dxa" w:w="2894"/>
          </w:tcPr>
          <w:p>
            <w:pPr>
              <w:spacing w:after="0"/>
            </w:pPr>
            <w:r>
              <w:rPr>
                <w:b w:val="0"/>
                <w:sz w:val="17"/>
              </w:rPr>
              <w:t>SOP-04 Informed consent</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p>
        </w:tc>
      </w:tr>
      <w:tr>
        <w:trPr>
          <w:cantSplit w:val="true"/>
          <w:trHeight w:val="432"/>
        </w:trPr>
        <w:tc>
          <w:tcPr>
            <w:tcW w:type="dxa" w:w="2894"/>
          </w:tcPr>
          <w:p>
            <w:pPr>
              <w:spacing w:after="0"/>
            </w:pPr>
            <w:r>
              <w:rPr>
                <w:b w:val="0"/>
                <w:sz w:val="17"/>
              </w:rPr>
              <w:t>SOP-05 Screening, eligibility, blinding</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r>
      <w:tr>
        <w:trPr>
          <w:cantSplit w:val="true"/>
          <w:trHeight w:val="432"/>
        </w:trPr>
        <w:tc>
          <w:tcPr>
            <w:tcW w:type="dxa" w:w="2894"/>
          </w:tcPr>
          <w:p>
            <w:pPr>
              <w:spacing w:after="0"/>
            </w:pPr>
            <w:r>
              <w:rPr>
                <w:b w:val="0"/>
                <w:sz w:val="17"/>
              </w:rPr>
              <w:t>SOP-06 Investigational product</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p>
        </w:tc>
      </w:tr>
      <w:tr>
        <w:trPr>
          <w:cantSplit w:val="true"/>
          <w:trHeight w:val="432"/>
        </w:trPr>
        <w:tc>
          <w:tcPr>
            <w:tcW w:type="dxa" w:w="2894"/>
          </w:tcPr>
          <w:p>
            <w:pPr>
              <w:spacing w:after="0"/>
            </w:pPr>
            <w:r>
              <w:rPr>
                <w:b w:val="0"/>
                <w:sz w:val="17"/>
              </w:rPr>
              <w:t>SOP-07 Source and EDC</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p>
        </w:tc>
      </w:tr>
      <w:tr>
        <w:trPr>
          <w:cantSplit w:val="true"/>
          <w:trHeight w:val="432"/>
        </w:trPr>
        <w:tc>
          <w:tcPr>
            <w:tcW w:type="dxa" w:w="2894"/>
          </w:tcPr>
          <w:p>
            <w:pPr>
              <w:spacing w:after="0"/>
            </w:pPr>
            <w:r>
              <w:rPr>
                <w:b w:val="0"/>
                <w:sz w:val="17"/>
              </w:rPr>
              <w:t>SOP-08 Deviations and CAPA</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r>
      <w:tr>
        <w:trPr>
          <w:cantSplit w:val="true"/>
          <w:trHeight w:val="432"/>
        </w:trPr>
        <w:tc>
          <w:tcPr>
            <w:tcW w:type="dxa" w:w="2894"/>
          </w:tcPr>
          <w:p>
            <w:pPr>
              <w:spacing w:after="0"/>
            </w:pPr>
            <w:r>
              <w:rPr>
                <w:b w:val="0"/>
                <w:sz w:val="17"/>
              </w:rPr>
              <w:t>SOP-09 Safety reporting</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p>
        </w:tc>
      </w:tr>
      <w:tr>
        <w:trPr>
          <w:cantSplit w:val="true"/>
          <w:trHeight w:val="432"/>
        </w:trPr>
        <w:tc>
          <w:tcPr>
            <w:tcW w:type="dxa" w:w="2894"/>
          </w:tcPr>
          <w:p>
            <w:pPr>
              <w:spacing w:after="0"/>
            </w:pPr>
            <w:r>
              <w:rPr>
                <w:b w:val="0"/>
                <w:sz w:val="17"/>
              </w:rPr>
              <w:t>SOP-10 Retention, withdrawal, payments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r>
      <w:tr>
        <w:trPr>
          <w:cantSplit w:val="true"/>
          <w:trHeight w:val="432"/>
        </w:trPr>
        <w:tc>
          <w:tcPr>
            <w:tcW w:type="dxa" w:w="2894"/>
          </w:tcPr>
          <w:p>
            <w:pPr>
              <w:spacing w:after="0"/>
            </w:pPr>
            <w:r>
              <w:rPr>
                <w:b w:val="0"/>
                <w:sz w:val="17"/>
              </w:rPr>
              <w:t>SOP-11 Specimens, equipment, labs</w:t>
            </w:r>
          </w:p>
        </w:tc>
        <w:tc>
          <w:tcPr>
            <w:tcW w:type="dxa" w:w="964"/>
          </w:tcPr>
          <w:p>
            <w:pPr>
              <w:spacing w:after="0"/>
            </w:pPr>
            <w:r>
              <w:rPr>
                <w:b w:val="0"/>
                <w:sz w:val="17"/>
              </w:rPr>
              <w:t>Know where it is</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r>
      <w:tr>
        <w:trPr>
          <w:cantSplit w:val="true"/>
        </w:trPr>
        <w:tc>
          <w:tcPr>
            <w:tcW w:type="dxa" w:w="2894"/>
          </w:tcPr>
          <w:p>
            <w:pPr>
              <w:spacing w:after="0"/>
            </w:pPr>
            <w:r>
              <w:rPr>
                <w:b w:val="0"/>
                <w:sz w:val="17"/>
              </w:rPr>
              <w:t>SOP-12 Privacy, systems, records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r>
      <w:tr>
        <w:trPr>
          <w:cantSplit w:val="true"/>
          <w:trHeight w:val="432"/>
        </w:trPr>
        <w:tc>
          <w:tcPr>
            <w:tcW w:type="dxa" w:w="2894"/>
          </w:tcPr>
          <w:p>
            <w:pPr>
              <w:spacing w:after="0"/>
            </w:pPr>
            <w:r>
              <w:rPr>
                <w:b w:val="0"/>
                <w:sz w:val="17"/>
              </w:rPr>
              <w:t>SOP-13 Monitoring, audits, inspections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r>
      <w:tr>
        <w:trPr>
          <w:cantSplit w:val="true"/>
          <w:trHeight w:val="432"/>
        </w:trPr>
        <w:tc>
          <w:tcPr>
            <w:tcW w:type="dxa" w:w="2894"/>
          </w:tcPr>
          <w:p>
            <w:pPr>
              <w:spacing w:after="0"/>
            </w:pPr>
            <w:r>
              <w:rPr>
                <w:b w:val="0"/>
                <w:sz w:val="17"/>
              </w:rPr>
              <w:t>SOP-14 Quality control and review</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p>
        </w:tc>
      </w:tr>
      <w:tr>
        <w:trPr>
          <w:cantSplit w:val="true"/>
        </w:trPr>
        <w:tc>
          <w:tcPr>
            <w:tcW w:type="dxa" w:w="2894"/>
          </w:tcPr>
          <w:p>
            <w:pPr>
              <w:spacing w:after="0"/>
            </w:pPr>
            <w:r>
              <w:rPr>
                <w:b w:val="0"/>
                <w:sz w:val="17"/>
              </w:rPr>
              <w:t>SOP-15 Closeout</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r>
      <w:tr>
        <w:trPr>
          <w:cantSplit w:val="true"/>
          <w:trHeight w:val="432"/>
        </w:trPr>
        <w:tc>
          <w:tcPr>
            <w:tcW w:type="dxa" w:w="2894"/>
          </w:tcPr>
          <w:p>
            <w:pPr>
              <w:spacing w:after="0"/>
            </w:pPr>
            <w:r>
              <w:rPr>
                <w:b w:val="0"/>
                <w:sz w:val="17"/>
              </w:rPr>
              <w:t>SOP-16 Continuity and PI coverage</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p>
        </w:tc>
      </w:tr>
      <w:tr>
        <w:trPr>
          <w:cantSplit w:val="true"/>
        </w:trPr>
        <w:tc>
          <w:tcPr>
            <w:tcW w:type="dxa" w:w="2894"/>
          </w:tcPr>
          <w:p>
            <w:pPr>
              <w:spacing w:after="0"/>
            </w:pPr>
            <w:r>
              <w:rPr>
                <w:b w:val="0"/>
                <w:sz w:val="17"/>
              </w:rPr>
              <w:t>SOP-M1 Service providers (if adopted)</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r>
      <w:tr>
        <w:trPr>
          <w:cantSplit w:val="true"/>
          <w:trHeight w:val="432"/>
        </w:trPr>
        <w:tc>
          <w:tcPr>
            <w:tcW w:type="dxa" w:w="2894"/>
          </w:tcPr>
          <w:p>
            <w:pPr>
              <w:spacing w:after="0"/>
            </w:pPr>
            <w:r>
              <w:rPr>
                <w:b w:val="0"/>
                <w:sz w:val="17"/>
              </w:rPr>
              <w:t>SOP-M2 Feasibility, contracts, billing (if adopted)</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r>
              <w:rPr>
                <w:b w:val="0"/>
                <w:sz w:val="17"/>
              </w:rPr>
              <w:t>Read and train</w:t>
            </w:r>
          </w:p>
        </w:tc>
      </w:tr>
      <w:tr>
        <w:trPr>
          <w:cantSplit w:val="true"/>
          <w:trHeight w:val="432"/>
        </w:trPr>
        <w:tc>
          <w:tcPr>
            <w:tcW w:type="dxa" w:w="2894"/>
          </w:tcPr>
          <w:p>
            <w:pPr>
              <w:spacing w:after="0"/>
            </w:pPr>
            <w:r>
              <w:rPr>
                <w:b w:val="0"/>
                <w:sz w:val="17"/>
              </w:rPr>
              <w:t>SOP-M3 Recruitment, advertising (if adopted)</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p>
        </w:tc>
        <w:tc>
          <w:tcPr>
            <w:tcW w:type="dxa" w:w="964"/>
          </w:tcPr>
          <w:p>
            <w:pPr>
              <w:spacing w:after="0"/>
            </w:pPr>
          </w:p>
        </w:tc>
      </w:tr>
      <w:tr>
        <w:trPr>
          <w:cantSplit w:val="true"/>
          <w:trHeight w:val="432"/>
        </w:trPr>
        <w:tc>
          <w:tcPr>
            <w:tcW w:type="dxa" w:w="2894"/>
          </w:tcPr>
          <w:p>
            <w:pPr>
              <w:spacing w:after="0"/>
            </w:pPr>
            <w:r>
              <w:rPr>
                <w:b w:val="0"/>
                <w:sz w:val="17"/>
              </w:rPr>
              <w:t>SOP-M4 Decentralized elements (if adopted)</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p>
        </w:tc>
      </w:tr>
      <w:tr>
        <w:trPr>
          <w:cantSplit w:val="true"/>
        </w:trPr>
        <w:tc>
          <w:tcPr>
            <w:tcW w:type="dxa" w:w="2894"/>
          </w:tcPr>
          <w:p>
            <w:pPr>
              <w:spacing w:after="0"/>
            </w:pPr>
            <w:r>
              <w:rPr>
                <w:b w:val="0"/>
                <w:sz w:val="17"/>
              </w:rPr>
              <w:t>SOP-M5 Research integrity reporting (if adopted)</w:t>
            </w:r>
          </w:p>
        </w:tc>
        <w:tc>
          <w:tcPr>
            <w:tcW w:type="dxa" w:w="964"/>
          </w:tcPr>
          <w:p>
            <w:pPr>
              <w:spacing w:after="0"/>
            </w:pPr>
            <w:r>
              <w:rPr>
                <w:b w:val="0"/>
                <w:sz w:val="17"/>
              </w:rPr>
              <w:t>Know where it is</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r>
      <w:tr>
        <w:trPr>
          <w:cantSplit w:val="true"/>
        </w:trPr>
        <w:tc>
          <w:tcPr>
            <w:tcW w:type="dxa" w:w="2894"/>
          </w:tcPr>
          <w:p>
            <w:pPr>
              <w:spacing w:after="0"/>
            </w:pPr>
            <w:r>
              <w:rPr>
                <w:b w:val="0"/>
                <w:sz w:val="17"/>
              </w:rPr>
              <w:t>SOP-M6 Sponsor-investigator studies (if adopted)</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Read and train</w:t>
            </w:r>
          </w:p>
        </w:tc>
        <w:tc>
          <w:tcPr>
            <w:tcW w:type="dxa" w:w="964"/>
          </w:tcPr>
          <w:p>
            <w:pPr>
              <w:spacing w:after="0"/>
            </w:pPr>
            <w:r>
              <w:rPr>
                <w:b w:val="0"/>
                <w:sz w:val="17"/>
              </w:rPr>
              <w:t>Know where it is</w:t>
            </w:r>
          </w:p>
        </w:tc>
        <w:tc>
          <w:tcPr>
            <w:tcW w:type="dxa" w:w="964"/>
          </w:tcPr>
          <w:p>
            <w:pPr>
              <w:spacing w:after="0"/>
            </w:pPr>
            <w:r>
              <w:rPr>
                <w:b w:val="0"/>
                <w:sz w:val="17"/>
              </w:rPr>
              <w:t>Know where it is</w:t>
            </w:r>
          </w:p>
        </w:tc>
        <w:tc>
          <w:tcPr>
            <w:tcW w:type="dxa" w:w="964"/>
          </w:tcPr>
          <w:p>
            <w:pPr>
              <w:spacing w:after="0"/>
            </w:pPr>
            <w:r>
              <w:rPr>
                <w:b w:val="0"/>
                <w:sz w:val="17"/>
              </w:rPr>
              <w:t>Know where it is</w:t>
            </w:r>
          </w:p>
        </w:tc>
      </w:tr>
    </w:tbl>
    <w:p>
      <w:pPr>
        <w:spacing w:after="40"/>
      </w:pPr>
    </w:p>
    <w:p>
      <w:pPr>
        <w:pStyle w:val="Heading1"/>
      </w:pPr>
      <w:r>
        <w:t>Forms and logs</w:t>
      </w:r>
    </w:p>
    <w:tbl>
      <w:tblPr>
        <w:tblStyle w:val="TableGrid"/>
        <w:tblW w:type="auto" w:w="0"/>
        <w:jc w:val="left"/>
        <w:tblLayout w:type="fixed"/>
        <w:tblLook w:firstColumn="1" w:firstRow="1" w:lastColumn="0" w:lastRow="0" w:noHBand="0" w:noVBand="1" w:val="04A0"/>
      </w:tblPr>
      <w:tblGrid>
        <w:gridCol w:w="1350"/>
        <w:gridCol w:w="6367"/>
        <w:gridCol w:w="1929"/>
      </w:tblGrid>
      <w:tr>
        <w:trPr>
          <w:tblHeader w:val="true"/>
        </w:trPr>
        <w:tc>
          <w:tcPr>
            <w:tcW w:type="dxa" w:w="1350"/>
            <w:shd w:val="clear" w:color="auto" w:fill="D9E2F3"/>
          </w:tcPr>
          <w:p>
            <w:pPr>
              <w:spacing w:after="0"/>
            </w:pPr>
            <w:r>
              <w:rPr>
                <w:b/>
                <w:sz w:val="18"/>
              </w:rPr>
              <w:t>Code</w:t>
            </w:r>
          </w:p>
        </w:tc>
        <w:tc>
          <w:tcPr>
            <w:tcW w:type="dxa" w:w="6367"/>
            <w:shd w:val="clear" w:color="auto" w:fill="D9E2F3"/>
          </w:tcPr>
          <w:p>
            <w:pPr>
              <w:spacing w:after="0"/>
            </w:pPr>
            <w:r>
              <w:rPr>
                <w:b/>
                <w:sz w:val="18"/>
              </w:rPr>
              <w:t>Title</w:t>
            </w:r>
          </w:p>
        </w:tc>
        <w:tc>
          <w:tcPr>
            <w:tcW w:type="dxa" w:w="1929"/>
            <w:shd w:val="clear" w:color="auto" w:fill="D9E2F3"/>
          </w:tcPr>
          <w:p>
            <w:pPr>
              <w:spacing w:after="0"/>
            </w:pPr>
            <w:r>
              <w:rPr>
                <w:b/>
                <w:sz w:val="18"/>
              </w:rPr>
              <w:t>Used by</w:t>
            </w:r>
          </w:p>
        </w:tc>
      </w:tr>
      <w:tr>
        <w:trPr>
          <w:cantSplit w:val="true"/>
        </w:trPr>
        <w:tc>
          <w:tcPr>
            <w:tcW w:type="dxa" w:w="1350"/>
          </w:tcPr>
          <w:p>
            <w:pPr>
              <w:spacing w:after="0"/>
            </w:pPr>
            <w:r>
              <w:rPr>
                <w:b w:val="0"/>
                <w:sz w:val="18"/>
              </w:rPr>
              <w:t>F-100-01</w:t>
            </w:r>
          </w:p>
        </w:tc>
        <w:tc>
          <w:tcPr>
            <w:tcW w:type="dxa" w:w="6367"/>
          </w:tcPr>
          <w:p>
            <w:pPr>
              <w:spacing w:after="0"/>
            </w:pPr>
            <w:r>
              <w:rPr>
                <w:b w:val="0"/>
                <w:sz w:val="18"/>
              </w:rPr>
              <w:t>SOP Review and Approval Record</w:t>
            </w:r>
          </w:p>
        </w:tc>
        <w:tc>
          <w:tcPr>
            <w:tcW w:type="dxa" w:w="1929"/>
          </w:tcPr>
          <w:p>
            <w:pPr>
              <w:spacing w:after="0"/>
            </w:pPr>
            <w:r>
              <w:rPr>
                <w:b w:val="0"/>
                <w:sz w:val="18"/>
              </w:rPr>
              <w:t>SOP-01</w:t>
            </w:r>
          </w:p>
        </w:tc>
      </w:tr>
      <w:tr>
        <w:trPr>
          <w:cantSplit w:val="true"/>
        </w:trPr>
        <w:tc>
          <w:tcPr>
            <w:tcW w:type="dxa" w:w="1350"/>
          </w:tcPr>
          <w:p>
            <w:pPr>
              <w:spacing w:after="0"/>
            </w:pPr>
            <w:r>
              <w:rPr>
                <w:b w:val="0"/>
                <w:sz w:val="18"/>
              </w:rPr>
              <w:t>F-100-02</w:t>
            </w:r>
          </w:p>
        </w:tc>
        <w:tc>
          <w:tcPr>
            <w:tcW w:type="dxa" w:w="6367"/>
          </w:tcPr>
          <w:p>
            <w:pPr>
              <w:spacing w:after="0"/>
            </w:pPr>
            <w:r>
              <w:rPr>
                <w:b w:val="0"/>
                <w:sz w:val="18"/>
              </w:rPr>
              <w:t>SOP Training Acknowledgment</w:t>
            </w:r>
          </w:p>
        </w:tc>
        <w:tc>
          <w:tcPr>
            <w:tcW w:type="dxa" w:w="1929"/>
          </w:tcPr>
          <w:p>
            <w:pPr>
              <w:spacing w:after="0"/>
            </w:pPr>
            <w:r>
              <w:rPr>
                <w:b w:val="0"/>
                <w:sz w:val="18"/>
              </w:rPr>
              <w:t>SOP-01</w:t>
            </w:r>
          </w:p>
        </w:tc>
      </w:tr>
      <w:tr>
        <w:trPr>
          <w:cantSplit w:val="true"/>
        </w:trPr>
        <w:tc>
          <w:tcPr>
            <w:tcW w:type="dxa" w:w="1350"/>
          </w:tcPr>
          <w:p>
            <w:pPr>
              <w:spacing w:after="0"/>
            </w:pPr>
            <w:r>
              <w:rPr>
                <w:b w:val="0"/>
                <w:sz w:val="18"/>
              </w:rPr>
              <w:t>F-100-03</w:t>
            </w:r>
          </w:p>
        </w:tc>
        <w:tc>
          <w:tcPr>
            <w:tcW w:type="dxa" w:w="6367"/>
          </w:tcPr>
          <w:p>
            <w:pPr>
              <w:spacing w:after="0"/>
            </w:pPr>
            <w:r>
              <w:rPr>
                <w:b w:val="0"/>
                <w:sz w:val="18"/>
              </w:rPr>
              <w:t>SOP Master Index and Review Schedule</w:t>
            </w:r>
          </w:p>
        </w:tc>
        <w:tc>
          <w:tcPr>
            <w:tcW w:type="dxa" w:w="1929"/>
          </w:tcPr>
          <w:p>
            <w:pPr>
              <w:spacing w:after="0"/>
            </w:pPr>
            <w:r>
              <w:rPr>
                <w:b w:val="0"/>
                <w:sz w:val="18"/>
              </w:rPr>
              <w:t>SOP-01</w:t>
            </w:r>
          </w:p>
        </w:tc>
      </w:tr>
      <w:tr>
        <w:trPr>
          <w:cantSplit w:val="true"/>
        </w:trPr>
        <w:tc>
          <w:tcPr>
            <w:tcW w:type="dxa" w:w="1350"/>
          </w:tcPr>
          <w:p>
            <w:pPr>
              <w:spacing w:after="0"/>
            </w:pPr>
            <w:r>
              <w:rPr>
                <w:b w:val="0"/>
                <w:sz w:val="18"/>
              </w:rPr>
              <w:t>F-102-01</w:t>
            </w:r>
          </w:p>
        </w:tc>
        <w:tc>
          <w:tcPr>
            <w:tcW w:type="dxa" w:w="6367"/>
          </w:tcPr>
          <w:p>
            <w:pPr>
              <w:spacing w:after="0"/>
            </w:pPr>
            <w:r>
              <w:rPr>
                <w:b w:val="0"/>
                <w:sz w:val="18"/>
              </w:rPr>
              <w:t>Site Organization Chart and Role Assignment Record</w:t>
            </w:r>
          </w:p>
        </w:tc>
        <w:tc>
          <w:tcPr>
            <w:tcW w:type="dxa" w:w="1929"/>
          </w:tcPr>
          <w:p>
            <w:pPr>
              <w:spacing w:after="0"/>
            </w:pPr>
            <w:r>
              <w:rPr>
                <w:b w:val="0"/>
                <w:sz w:val="18"/>
              </w:rPr>
              <w:t>SOP-02</w:t>
            </w:r>
          </w:p>
        </w:tc>
      </w:tr>
      <w:tr>
        <w:trPr>
          <w:cantSplit w:val="true"/>
        </w:trPr>
        <w:tc>
          <w:tcPr>
            <w:tcW w:type="dxa" w:w="1350"/>
          </w:tcPr>
          <w:p>
            <w:pPr>
              <w:spacing w:after="0"/>
            </w:pPr>
            <w:r>
              <w:rPr>
                <w:b w:val="0"/>
                <w:sz w:val="18"/>
              </w:rPr>
              <w:t>F-102-02</w:t>
            </w:r>
          </w:p>
        </w:tc>
        <w:tc>
          <w:tcPr>
            <w:tcW w:type="dxa" w:w="6367"/>
          </w:tcPr>
          <w:p>
            <w:pPr>
              <w:spacing w:after="0"/>
            </w:pPr>
            <w:r>
              <w:rPr>
                <w:b w:val="0"/>
                <w:sz w:val="18"/>
              </w:rPr>
              <w:t>Staff Onboarding and Offboarding Checklist</w:t>
            </w:r>
          </w:p>
        </w:tc>
        <w:tc>
          <w:tcPr>
            <w:tcW w:type="dxa" w:w="1929"/>
          </w:tcPr>
          <w:p>
            <w:pPr>
              <w:spacing w:after="0"/>
            </w:pPr>
            <w:r>
              <w:rPr>
                <w:b w:val="0"/>
                <w:sz w:val="18"/>
              </w:rPr>
              <w:t>SOP-02</w:t>
            </w:r>
          </w:p>
        </w:tc>
      </w:tr>
      <w:tr>
        <w:trPr>
          <w:cantSplit w:val="true"/>
        </w:trPr>
        <w:tc>
          <w:tcPr>
            <w:tcW w:type="dxa" w:w="1350"/>
          </w:tcPr>
          <w:p>
            <w:pPr>
              <w:spacing w:after="0"/>
            </w:pPr>
            <w:r>
              <w:rPr>
                <w:b w:val="0"/>
                <w:sz w:val="18"/>
              </w:rPr>
              <w:t>F-103-01</w:t>
            </w:r>
          </w:p>
        </w:tc>
        <w:tc>
          <w:tcPr>
            <w:tcW w:type="dxa" w:w="6367"/>
          </w:tcPr>
          <w:p>
            <w:pPr>
              <w:spacing w:after="0"/>
            </w:pPr>
            <w:r>
              <w:rPr>
                <w:b w:val="0"/>
                <w:sz w:val="18"/>
              </w:rPr>
              <w:t>Staff Training Log</w:t>
            </w:r>
          </w:p>
        </w:tc>
        <w:tc>
          <w:tcPr>
            <w:tcW w:type="dxa" w:w="1929"/>
          </w:tcPr>
          <w:p>
            <w:pPr>
              <w:spacing w:after="0"/>
            </w:pPr>
            <w:r>
              <w:rPr>
                <w:b w:val="0"/>
                <w:sz w:val="18"/>
              </w:rPr>
              <w:t>SOP-01</w:t>
            </w:r>
          </w:p>
        </w:tc>
      </w:tr>
      <w:tr>
        <w:trPr>
          <w:cantSplit w:val="true"/>
        </w:trPr>
        <w:tc>
          <w:tcPr>
            <w:tcW w:type="dxa" w:w="1350"/>
          </w:tcPr>
          <w:p>
            <w:pPr>
              <w:spacing w:after="0"/>
            </w:pPr>
            <w:r>
              <w:rPr>
                <w:b w:val="0"/>
                <w:sz w:val="18"/>
              </w:rPr>
              <w:t>F-103-02</w:t>
            </w:r>
          </w:p>
        </w:tc>
        <w:tc>
          <w:tcPr>
            <w:tcW w:type="dxa" w:w="6367"/>
          </w:tcPr>
          <w:p>
            <w:pPr>
              <w:spacing w:after="0"/>
            </w:pPr>
            <w:r>
              <w:rPr>
                <w:b w:val="0"/>
                <w:sz w:val="18"/>
              </w:rPr>
              <w:t>Staff Qualification File Checklist</w:t>
            </w:r>
          </w:p>
        </w:tc>
        <w:tc>
          <w:tcPr>
            <w:tcW w:type="dxa" w:w="1929"/>
          </w:tcPr>
          <w:p>
            <w:pPr>
              <w:spacing w:after="0"/>
            </w:pPr>
            <w:r>
              <w:rPr>
                <w:b w:val="0"/>
                <w:sz w:val="18"/>
              </w:rPr>
              <w:t>SOP-01</w:t>
            </w:r>
          </w:p>
        </w:tc>
      </w:tr>
      <w:tr>
        <w:trPr>
          <w:cantSplit w:val="true"/>
        </w:trPr>
        <w:tc>
          <w:tcPr>
            <w:tcW w:type="dxa" w:w="1350"/>
          </w:tcPr>
          <w:p>
            <w:pPr>
              <w:spacing w:after="0"/>
            </w:pPr>
            <w:r>
              <w:rPr>
                <w:b w:val="0"/>
                <w:sz w:val="18"/>
              </w:rPr>
              <w:t>F-104-01</w:t>
            </w:r>
          </w:p>
        </w:tc>
        <w:tc>
          <w:tcPr>
            <w:tcW w:type="dxa" w:w="6367"/>
          </w:tcPr>
          <w:p>
            <w:pPr>
              <w:spacing w:after="0"/>
            </w:pPr>
            <w:r>
              <w:rPr>
                <w:b w:val="0"/>
                <w:sz w:val="18"/>
              </w:rPr>
              <w:t>Conflict of Interest and Financial Interest Disclosure</w:t>
            </w:r>
          </w:p>
        </w:tc>
        <w:tc>
          <w:tcPr>
            <w:tcW w:type="dxa" w:w="1929"/>
          </w:tcPr>
          <w:p>
            <w:pPr>
              <w:spacing w:after="0"/>
            </w:pPr>
            <w:r>
              <w:rPr>
                <w:b w:val="0"/>
                <w:sz w:val="18"/>
              </w:rPr>
              <w:t>SOP-02</w:t>
            </w:r>
          </w:p>
        </w:tc>
      </w:tr>
      <w:tr>
        <w:trPr>
          <w:cantSplit w:val="true"/>
        </w:trPr>
        <w:tc>
          <w:tcPr>
            <w:tcW w:type="dxa" w:w="1350"/>
          </w:tcPr>
          <w:p>
            <w:pPr>
              <w:spacing w:after="0"/>
            </w:pPr>
            <w:r>
              <w:rPr>
                <w:b w:val="0"/>
                <w:sz w:val="18"/>
              </w:rPr>
              <w:t>F-204-01</w:t>
            </w:r>
          </w:p>
        </w:tc>
        <w:tc>
          <w:tcPr>
            <w:tcW w:type="dxa" w:w="6367"/>
          </w:tcPr>
          <w:p>
            <w:pPr>
              <w:spacing w:after="0"/>
            </w:pPr>
            <w:r>
              <w:rPr>
                <w:b w:val="0"/>
                <w:sz w:val="18"/>
              </w:rPr>
              <w:t>Investigator Site File Index</w:t>
            </w:r>
          </w:p>
        </w:tc>
        <w:tc>
          <w:tcPr>
            <w:tcW w:type="dxa" w:w="1929"/>
          </w:tcPr>
          <w:p>
            <w:pPr>
              <w:spacing w:after="0"/>
            </w:pPr>
            <w:r>
              <w:rPr>
                <w:b w:val="0"/>
                <w:sz w:val="18"/>
              </w:rPr>
              <w:t>SOP-03</w:t>
            </w:r>
          </w:p>
        </w:tc>
      </w:tr>
      <w:tr>
        <w:trPr>
          <w:cantSplit w:val="true"/>
        </w:trPr>
        <w:tc>
          <w:tcPr>
            <w:tcW w:type="dxa" w:w="1350"/>
          </w:tcPr>
          <w:p>
            <w:pPr>
              <w:spacing w:after="0"/>
            </w:pPr>
            <w:r>
              <w:rPr>
                <w:b w:val="0"/>
                <w:sz w:val="18"/>
              </w:rPr>
              <w:t>F-205-01</w:t>
            </w:r>
          </w:p>
        </w:tc>
        <w:tc>
          <w:tcPr>
            <w:tcW w:type="dxa" w:w="6367"/>
          </w:tcPr>
          <w:p>
            <w:pPr>
              <w:spacing w:after="0"/>
            </w:pPr>
            <w:r>
              <w:rPr>
                <w:b w:val="0"/>
                <w:sz w:val="18"/>
              </w:rPr>
              <w:t>Study Activation Checklist</w:t>
            </w:r>
          </w:p>
        </w:tc>
        <w:tc>
          <w:tcPr>
            <w:tcW w:type="dxa" w:w="1929"/>
          </w:tcPr>
          <w:p>
            <w:pPr>
              <w:spacing w:after="0"/>
            </w:pPr>
            <w:r>
              <w:rPr>
                <w:b w:val="0"/>
                <w:sz w:val="18"/>
              </w:rPr>
              <w:t>SOP-03</w:t>
            </w:r>
          </w:p>
        </w:tc>
      </w:tr>
      <w:tr>
        <w:trPr>
          <w:cantSplit w:val="true"/>
        </w:trPr>
        <w:tc>
          <w:tcPr>
            <w:tcW w:type="dxa" w:w="1350"/>
          </w:tcPr>
          <w:p>
            <w:pPr>
              <w:spacing w:after="0"/>
            </w:pPr>
            <w:r>
              <w:rPr>
                <w:b w:val="0"/>
                <w:sz w:val="18"/>
              </w:rPr>
              <w:t>F-300-01</w:t>
            </w:r>
          </w:p>
        </w:tc>
        <w:tc>
          <w:tcPr>
            <w:tcW w:type="dxa" w:w="6367"/>
          </w:tcPr>
          <w:p>
            <w:pPr>
              <w:spacing w:after="0"/>
            </w:pPr>
            <w:r>
              <w:rPr>
                <w:b w:val="0"/>
                <w:sz w:val="18"/>
              </w:rPr>
              <w:t>Pre-Screening Log</w:t>
            </w:r>
          </w:p>
        </w:tc>
        <w:tc>
          <w:tcPr>
            <w:tcW w:type="dxa" w:w="1929"/>
          </w:tcPr>
          <w:p>
            <w:pPr>
              <w:spacing w:after="0"/>
            </w:pPr>
            <w:r>
              <w:rPr>
                <w:b w:val="0"/>
                <w:sz w:val="18"/>
              </w:rPr>
              <w:t>SOP-05</w:t>
            </w:r>
          </w:p>
        </w:tc>
      </w:tr>
      <w:tr>
        <w:trPr>
          <w:cantSplit w:val="true"/>
        </w:trPr>
        <w:tc>
          <w:tcPr>
            <w:tcW w:type="dxa" w:w="1350"/>
          </w:tcPr>
          <w:p>
            <w:pPr>
              <w:spacing w:after="0"/>
            </w:pPr>
            <w:r>
              <w:rPr>
                <w:b w:val="0"/>
                <w:sz w:val="18"/>
              </w:rPr>
              <w:t>F-301-01</w:t>
            </w:r>
          </w:p>
        </w:tc>
        <w:tc>
          <w:tcPr>
            <w:tcW w:type="dxa" w:w="6367"/>
          </w:tcPr>
          <w:p>
            <w:pPr>
              <w:spacing w:after="0"/>
            </w:pPr>
            <w:r>
              <w:rPr>
                <w:b w:val="0"/>
                <w:sz w:val="18"/>
              </w:rPr>
              <w:t>Informed Consent Process Note</w:t>
            </w:r>
          </w:p>
        </w:tc>
        <w:tc>
          <w:tcPr>
            <w:tcW w:type="dxa" w:w="1929"/>
          </w:tcPr>
          <w:p>
            <w:pPr>
              <w:spacing w:after="0"/>
            </w:pPr>
            <w:r>
              <w:rPr>
                <w:b w:val="0"/>
                <w:sz w:val="18"/>
              </w:rPr>
              <w:t>SOP-04</w:t>
            </w:r>
          </w:p>
        </w:tc>
      </w:tr>
      <w:tr>
        <w:trPr>
          <w:cantSplit w:val="true"/>
        </w:trPr>
        <w:tc>
          <w:tcPr>
            <w:tcW w:type="dxa" w:w="1350"/>
          </w:tcPr>
          <w:p>
            <w:pPr>
              <w:spacing w:after="0"/>
            </w:pPr>
            <w:r>
              <w:rPr>
                <w:b w:val="0"/>
                <w:sz w:val="18"/>
              </w:rPr>
              <w:t>F-301-02</w:t>
            </w:r>
          </w:p>
        </w:tc>
        <w:tc>
          <w:tcPr>
            <w:tcW w:type="dxa" w:w="6367"/>
          </w:tcPr>
          <w:p>
            <w:pPr>
              <w:spacing w:after="0"/>
            </w:pPr>
            <w:r>
              <w:rPr>
                <w:b w:val="0"/>
                <w:sz w:val="18"/>
              </w:rPr>
              <w:t>Consent Form Version Control Log</w:t>
            </w:r>
          </w:p>
        </w:tc>
        <w:tc>
          <w:tcPr>
            <w:tcW w:type="dxa" w:w="1929"/>
          </w:tcPr>
          <w:p>
            <w:pPr>
              <w:spacing w:after="0"/>
            </w:pPr>
            <w:r>
              <w:rPr>
                <w:b w:val="0"/>
                <w:sz w:val="18"/>
              </w:rPr>
              <w:t>SOP-04</w:t>
            </w:r>
          </w:p>
        </w:tc>
      </w:tr>
      <w:tr>
        <w:trPr>
          <w:cantSplit w:val="true"/>
        </w:trPr>
        <w:tc>
          <w:tcPr>
            <w:tcW w:type="dxa" w:w="1350"/>
          </w:tcPr>
          <w:p>
            <w:pPr>
              <w:spacing w:after="0"/>
            </w:pPr>
            <w:r>
              <w:rPr>
                <w:b w:val="0"/>
                <w:sz w:val="18"/>
              </w:rPr>
              <w:t>F-302-01</w:t>
            </w:r>
          </w:p>
        </w:tc>
        <w:tc>
          <w:tcPr>
            <w:tcW w:type="dxa" w:w="6367"/>
          </w:tcPr>
          <w:p>
            <w:pPr>
              <w:spacing w:after="0"/>
            </w:pPr>
            <w:r>
              <w:rPr>
                <w:b w:val="0"/>
                <w:sz w:val="18"/>
              </w:rPr>
              <w:t>Delegation of Authority Log</w:t>
            </w:r>
          </w:p>
        </w:tc>
        <w:tc>
          <w:tcPr>
            <w:tcW w:type="dxa" w:w="1929"/>
          </w:tcPr>
          <w:p>
            <w:pPr>
              <w:spacing w:after="0"/>
            </w:pPr>
            <w:r>
              <w:rPr>
                <w:b w:val="0"/>
                <w:sz w:val="18"/>
              </w:rPr>
              <w:t>SOP-02</w:t>
            </w:r>
          </w:p>
        </w:tc>
      </w:tr>
      <w:tr>
        <w:trPr>
          <w:cantSplit w:val="true"/>
        </w:trPr>
        <w:tc>
          <w:tcPr>
            <w:tcW w:type="dxa" w:w="1350"/>
          </w:tcPr>
          <w:p>
            <w:pPr>
              <w:spacing w:after="0"/>
            </w:pPr>
            <w:r>
              <w:rPr>
                <w:b w:val="0"/>
                <w:sz w:val="18"/>
              </w:rPr>
              <w:t>F-303-01</w:t>
            </w:r>
          </w:p>
        </w:tc>
        <w:tc>
          <w:tcPr>
            <w:tcW w:type="dxa" w:w="6367"/>
          </w:tcPr>
          <w:p>
            <w:pPr>
              <w:spacing w:after="0"/>
            </w:pPr>
            <w:r>
              <w:rPr>
                <w:b w:val="0"/>
                <w:sz w:val="18"/>
              </w:rPr>
              <w:t>Screening and Enrollment Log</w:t>
            </w:r>
          </w:p>
        </w:tc>
        <w:tc>
          <w:tcPr>
            <w:tcW w:type="dxa" w:w="1929"/>
          </w:tcPr>
          <w:p>
            <w:pPr>
              <w:spacing w:after="0"/>
            </w:pPr>
            <w:r>
              <w:rPr>
                <w:b w:val="0"/>
                <w:sz w:val="18"/>
              </w:rPr>
              <w:t>SOP-05</w:t>
            </w:r>
          </w:p>
        </w:tc>
      </w:tr>
      <w:tr>
        <w:trPr>
          <w:cantSplit w:val="true"/>
        </w:trPr>
        <w:tc>
          <w:tcPr>
            <w:tcW w:type="dxa" w:w="1350"/>
          </w:tcPr>
          <w:p>
            <w:pPr>
              <w:spacing w:after="0"/>
            </w:pPr>
            <w:r>
              <w:rPr>
                <w:b w:val="0"/>
                <w:sz w:val="18"/>
              </w:rPr>
              <w:t>F-303-02</w:t>
            </w:r>
          </w:p>
        </w:tc>
        <w:tc>
          <w:tcPr>
            <w:tcW w:type="dxa" w:w="6367"/>
          </w:tcPr>
          <w:p>
            <w:pPr>
              <w:spacing w:after="0"/>
            </w:pPr>
            <w:r>
              <w:rPr>
                <w:b w:val="0"/>
                <w:sz w:val="18"/>
              </w:rPr>
              <w:t>Eligibility Verification Checklist</w:t>
            </w:r>
          </w:p>
        </w:tc>
        <w:tc>
          <w:tcPr>
            <w:tcW w:type="dxa" w:w="1929"/>
          </w:tcPr>
          <w:p>
            <w:pPr>
              <w:spacing w:after="0"/>
            </w:pPr>
            <w:r>
              <w:rPr>
                <w:b w:val="0"/>
                <w:sz w:val="18"/>
              </w:rPr>
              <w:t>SOP-05</w:t>
            </w:r>
          </w:p>
        </w:tc>
      </w:tr>
      <w:tr>
        <w:trPr>
          <w:cantSplit w:val="true"/>
        </w:trPr>
        <w:tc>
          <w:tcPr>
            <w:tcW w:type="dxa" w:w="1350"/>
          </w:tcPr>
          <w:p>
            <w:pPr>
              <w:spacing w:after="0"/>
            </w:pPr>
            <w:r>
              <w:rPr>
                <w:b w:val="0"/>
                <w:sz w:val="18"/>
              </w:rPr>
              <w:t>F-304-01</w:t>
            </w:r>
          </w:p>
        </w:tc>
        <w:tc>
          <w:tcPr>
            <w:tcW w:type="dxa" w:w="6367"/>
          </w:tcPr>
          <w:p>
            <w:pPr>
              <w:spacing w:after="0"/>
            </w:pPr>
            <w:r>
              <w:rPr>
                <w:b w:val="0"/>
                <w:sz w:val="18"/>
              </w:rPr>
              <w:t>Investigational Product Accountability Log</w:t>
            </w:r>
          </w:p>
        </w:tc>
        <w:tc>
          <w:tcPr>
            <w:tcW w:type="dxa" w:w="1929"/>
          </w:tcPr>
          <w:p>
            <w:pPr>
              <w:spacing w:after="0"/>
            </w:pPr>
            <w:r>
              <w:rPr>
                <w:b w:val="0"/>
                <w:sz w:val="18"/>
              </w:rPr>
              <w:t>SOP-06</w:t>
            </w:r>
          </w:p>
        </w:tc>
      </w:tr>
      <w:tr>
        <w:trPr>
          <w:cantSplit w:val="true"/>
        </w:trPr>
        <w:tc>
          <w:tcPr>
            <w:tcW w:type="dxa" w:w="1350"/>
          </w:tcPr>
          <w:p>
            <w:pPr>
              <w:spacing w:after="0"/>
            </w:pPr>
            <w:r>
              <w:rPr>
                <w:b w:val="0"/>
                <w:sz w:val="18"/>
              </w:rPr>
              <w:t>F-304-02</w:t>
            </w:r>
          </w:p>
        </w:tc>
        <w:tc>
          <w:tcPr>
            <w:tcW w:type="dxa" w:w="6367"/>
          </w:tcPr>
          <w:p>
            <w:pPr>
              <w:spacing w:after="0"/>
            </w:pPr>
            <w:r>
              <w:rPr>
                <w:b w:val="0"/>
                <w:sz w:val="18"/>
              </w:rPr>
              <w:t>Temperature Monitoring Log</w:t>
            </w:r>
          </w:p>
        </w:tc>
        <w:tc>
          <w:tcPr>
            <w:tcW w:type="dxa" w:w="1929"/>
          </w:tcPr>
          <w:p>
            <w:pPr>
              <w:spacing w:after="0"/>
            </w:pPr>
            <w:r>
              <w:rPr>
                <w:b w:val="0"/>
                <w:sz w:val="18"/>
              </w:rPr>
              <w:t>SOP-06</w:t>
            </w:r>
          </w:p>
        </w:tc>
      </w:tr>
      <w:tr>
        <w:trPr>
          <w:cantSplit w:val="true"/>
        </w:trPr>
        <w:tc>
          <w:tcPr>
            <w:tcW w:type="dxa" w:w="1350"/>
          </w:tcPr>
          <w:p>
            <w:pPr>
              <w:spacing w:after="0"/>
            </w:pPr>
            <w:r>
              <w:rPr>
                <w:b w:val="0"/>
                <w:sz w:val="18"/>
              </w:rPr>
              <w:t>F-304-03</w:t>
            </w:r>
          </w:p>
        </w:tc>
        <w:tc>
          <w:tcPr>
            <w:tcW w:type="dxa" w:w="6367"/>
          </w:tcPr>
          <w:p>
            <w:pPr>
              <w:spacing w:after="0"/>
            </w:pPr>
            <w:r>
              <w:rPr>
                <w:b w:val="0"/>
                <w:sz w:val="18"/>
              </w:rPr>
              <w:t>Temperature Excursion Report</w:t>
            </w:r>
          </w:p>
        </w:tc>
        <w:tc>
          <w:tcPr>
            <w:tcW w:type="dxa" w:w="1929"/>
          </w:tcPr>
          <w:p>
            <w:pPr>
              <w:spacing w:after="0"/>
            </w:pPr>
            <w:r>
              <w:rPr>
                <w:b w:val="0"/>
                <w:sz w:val="18"/>
              </w:rPr>
              <w:t>SOP-06</w:t>
            </w:r>
          </w:p>
        </w:tc>
      </w:tr>
      <w:tr>
        <w:trPr>
          <w:cantSplit w:val="true"/>
        </w:trPr>
        <w:tc>
          <w:tcPr>
            <w:tcW w:type="dxa" w:w="1350"/>
          </w:tcPr>
          <w:p>
            <w:pPr>
              <w:spacing w:after="0"/>
            </w:pPr>
            <w:r>
              <w:rPr>
                <w:b w:val="0"/>
                <w:sz w:val="18"/>
              </w:rPr>
              <w:t>F-304-04</w:t>
            </w:r>
          </w:p>
        </w:tc>
        <w:tc>
          <w:tcPr>
            <w:tcW w:type="dxa" w:w="6367"/>
          </w:tcPr>
          <w:p>
            <w:pPr>
              <w:spacing w:after="0"/>
            </w:pPr>
            <w:r>
              <w:rPr>
                <w:b w:val="0"/>
                <w:sz w:val="18"/>
              </w:rPr>
              <w:t>Participant IP Dispensing and Return Log</w:t>
            </w:r>
          </w:p>
        </w:tc>
        <w:tc>
          <w:tcPr>
            <w:tcW w:type="dxa" w:w="1929"/>
          </w:tcPr>
          <w:p>
            <w:pPr>
              <w:spacing w:after="0"/>
            </w:pPr>
            <w:r>
              <w:rPr>
                <w:b w:val="0"/>
                <w:sz w:val="18"/>
              </w:rPr>
              <w:t>SOP-06</w:t>
            </w:r>
          </w:p>
        </w:tc>
      </w:tr>
      <w:tr>
        <w:trPr>
          <w:cantSplit w:val="true"/>
        </w:trPr>
        <w:tc>
          <w:tcPr>
            <w:tcW w:type="dxa" w:w="1350"/>
          </w:tcPr>
          <w:p>
            <w:pPr>
              <w:spacing w:after="0"/>
            </w:pPr>
            <w:r>
              <w:rPr>
                <w:b w:val="0"/>
                <w:sz w:val="18"/>
              </w:rPr>
              <w:t>F-305-01</w:t>
            </w:r>
          </w:p>
        </w:tc>
        <w:tc>
          <w:tcPr>
            <w:tcW w:type="dxa" w:w="6367"/>
          </w:tcPr>
          <w:p>
            <w:pPr>
              <w:spacing w:after="0"/>
            </w:pPr>
            <w:r>
              <w:rPr>
                <w:b w:val="0"/>
                <w:sz w:val="18"/>
              </w:rPr>
              <w:t>Emergency Unblinding Record</w:t>
            </w:r>
          </w:p>
        </w:tc>
        <w:tc>
          <w:tcPr>
            <w:tcW w:type="dxa" w:w="1929"/>
          </w:tcPr>
          <w:p>
            <w:pPr>
              <w:spacing w:after="0"/>
            </w:pPr>
            <w:r>
              <w:rPr>
                <w:b w:val="0"/>
                <w:sz w:val="18"/>
              </w:rPr>
              <w:t>SOP-05</w:t>
            </w:r>
          </w:p>
        </w:tc>
      </w:tr>
      <w:tr>
        <w:trPr>
          <w:cantSplit w:val="true"/>
        </w:trPr>
        <w:tc>
          <w:tcPr>
            <w:tcW w:type="dxa" w:w="1350"/>
          </w:tcPr>
          <w:p>
            <w:pPr>
              <w:spacing w:after="0"/>
            </w:pPr>
            <w:r>
              <w:rPr>
                <w:b w:val="0"/>
                <w:sz w:val="18"/>
              </w:rPr>
              <w:t>F-306-01</w:t>
            </w:r>
          </w:p>
        </w:tc>
        <w:tc>
          <w:tcPr>
            <w:tcW w:type="dxa" w:w="6367"/>
          </w:tcPr>
          <w:p>
            <w:pPr>
              <w:spacing w:after="0"/>
            </w:pPr>
            <w:r>
              <w:rPr>
                <w:b w:val="0"/>
                <w:sz w:val="18"/>
              </w:rPr>
              <w:t>Note to File</w:t>
            </w:r>
          </w:p>
        </w:tc>
        <w:tc>
          <w:tcPr>
            <w:tcW w:type="dxa" w:w="1929"/>
          </w:tcPr>
          <w:p>
            <w:pPr>
              <w:spacing w:after="0"/>
            </w:pPr>
            <w:r>
              <w:rPr>
                <w:b w:val="0"/>
                <w:sz w:val="18"/>
              </w:rPr>
              <w:t>SOP-03</w:t>
            </w:r>
          </w:p>
        </w:tc>
      </w:tr>
      <w:tr>
        <w:trPr>
          <w:cantSplit w:val="true"/>
        </w:trPr>
        <w:tc>
          <w:tcPr>
            <w:tcW w:type="dxa" w:w="1350"/>
          </w:tcPr>
          <w:p>
            <w:pPr>
              <w:spacing w:after="0"/>
            </w:pPr>
            <w:r>
              <w:rPr>
                <w:b w:val="0"/>
                <w:sz w:val="18"/>
              </w:rPr>
              <w:t>F-308-01</w:t>
            </w:r>
          </w:p>
        </w:tc>
        <w:tc>
          <w:tcPr>
            <w:tcW w:type="dxa" w:w="6367"/>
          </w:tcPr>
          <w:p>
            <w:pPr>
              <w:spacing w:after="0"/>
            </w:pPr>
            <w:r>
              <w:rPr>
                <w:b w:val="0"/>
                <w:sz w:val="18"/>
              </w:rPr>
              <w:t>Protocol Deviation Log</w:t>
            </w:r>
          </w:p>
        </w:tc>
        <w:tc>
          <w:tcPr>
            <w:tcW w:type="dxa" w:w="1929"/>
          </w:tcPr>
          <w:p>
            <w:pPr>
              <w:spacing w:after="0"/>
            </w:pPr>
            <w:r>
              <w:rPr>
                <w:b w:val="0"/>
                <w:sz w:val="18"/>
              </w:rPr>
              <w:t>SOP-08</w:t>
            </w:r>
          </w:p>
        </w:tc>
      </w:tr>
      <w:tr>
        <w:trPr>
          <w:cantSplit w:val="true"/>
        </w:trPr>
        <w:tc>
          <w:tcPr>
            <w:tcW w:type="dxa" w:w="1350"/>
          </w:tcPr>
          <w:p>
            <w:pPr>
              <w:spacing w:after="0"/>
            </w:pPr>
            <w:r>
              <w:rPr>
                <w:b w:val="0"/>
                <w:sz w:val="18"/>
              </w:rPr>
              <w:t>F-309-01</w:t>
            </w:r>
          </w:p>
        </w:tc>
        <w:tc>
          <w:tcPr>
            <w:tcW w:type="dxa" w:w="6367"/>
          </w:tcPr>
          <w:p>
            <w:pPr>
              <w:spacing w:after="0"/>
            </w:pPr>
            <w:r>
              <w:rPr>
                <w:b w:val="0"/>
                <w:sz w:val="18"/>
              </w:rPr>
              <w:t>Participant Contact and Retention Log</w:t>
            </w:r>
          </w:p>
        </w:tc>
        <w:tc>
          <w:tcPr>
            <w:tcW w:type="dxa" w:w="1929"/>
          </w:tcPr>
          <w:p>
            <w:pPr>
              <w:spacing w:after="0"/>
            </w:pPr>
            <w:r>
              <w:rPr>
                <w:b w:val="0"/>
                <w:sz w:val="18"/>
              </w:rPr>
              <w:t>SOP-10</w:t>
            </w:r>
          </w:p>
        </w:tc>
      </w:tr>
      <w:tr>
        <w:trPr>
          <w:cantSplit w:val="true"/>
        </w:trPr>
        <w:tc>
          <w:tcPr>
            <w:tcW w:type="dxa" w:w="1350"/>
          </w:tcPr>
          <w:p>
            <w:pPr>
              <w:spacing w:after="0"/>
            </w:pPr>
            <w:r>
              <w:rPr>
                <w:b w:val="0"/>
                <w:sz w:val="18"/>
              </w:rPr>
              <w:t>F-310-01</w:t>
            </w:r>
          </w:p>
        </w:tc>
        <w:tc>
          <w:tcPr>
            <w:tcW w:type="dxa" w:w="6367"/>
          </w:tcPr>
          <w:p>
            <w:pPr>
              <w:spacing w:after="0"/>
            </w:pPr>
            <w:r>
              <w:rPr>
                <w:b w:val="0"/>
                <w:sz w:val="18"/>
              </w:rPr>
              <w:t>Participant Payment Log</w:t>
            </w:r>
          </w:p>
        </w:tc>
        <w:tc>
          <w:tcPr>
            <w:tcW w:type="dxa" w:w="1929"/>
          </w:tcPr>
          <w:p>
            <w:pPr>
              <w:spacing w:after="0"/>
            </w:pPr>
            <w:r>
              <w:rPr>
                <w:b w:val="0"/>
                <w:sz w:val="18"/>
              </w:rPr>
              <w:t>SOP-10</w:t>
            </w:r>
          </w:p>
        </w:tc>
      </w:tr>
      <w:tr>
        <w:trPr>
          <w:cantSplit w:val="true"/>
        </w:trPr>
        <w:tc>
          <w:tcPr>
            <w:tcW w:type="dxa" w:w="1350"/>
          </w:tcPr>
          <w:p>
            <w:pPr>
              <w:spacing w:after="0"/>
            </w:pPr>
            <w:r>
              <w:rPr>
                <w:b w:val="0"/>
                <w:sz w:val="18"/>
              </w:rPr>
              <w:t>F-311-01</w:t>
            </w:r>
          </w:p>
        </w:tc>
        <w:tc>
          <w:tcPr>
            <w:tcW w:type="dxa" w:w="6367"/>
          </w:tcPr>
          <w:p>
            <w:pPr>
              <w:spacing w:after="0"/>
            </w:pPr>
            <w:r>
              <w:rPr>
                <w:b w:val="0"/>
                <w:sz w:val="18"/>
              </w:rPr>
              <w:t>Specimen Processing and Shipment Log</w:t>
            </w:r>
          </w:p>
        </w:tc>
        <w:tc>
          <w:tcPr>
            <w:tcW w:type="dxa" w:w="1929"/>
          </w:tcPr>
          <w:p>
            <w:pPr>
              <w:spacing w:after="0"/>
            </w:pPr>
            <w:r>
              <w:rPr>
                <w:b w:val="0"/>
                <w:sz w:val="18"/>
              </w:rPr>
              <w:t>SOP-11</w:t>
            </w:r>
          </w:p>
        </w:tc>
      </w:tr>
      <w:tr>
        <w:trPr>
          <w:cantSplit w:val="true"/>
        </w:trPr>
        <w:tc>
          <w:tcPr>
            <w:tcW w:type="dxa" w:w="1350"/>
          </w:tcPr>
          <w:p>
            <w:pPr>
              <w:spacing w:after="0"/>
            </w:pPr>
            <w:r>
              <w:rPr>
                <w:b w:val="0"/>
                <w:sz w:val="18"/>
              </w:rPr>
              <w:t>F-312-01</w:t>
            </w:r>
          </w:p>
        </w:tc>
        <w:tc>
          <w:tcPr>
            <w:tcW w:type="dxa" w:w="6367"/>
          </w:tcPr>
          <w:p>
            <w:pPr>
              <w:spacing w:after="0"/>
            </w:pPr>
            <w:r>
              <w:rPr>
                <w:b w:val="0"/>
                <w:sz w:val="18"/>
              </w:rPr>
              <w:t>Equipment Inventory and Calibration Log</w:t>
            </w:r>
          </w:p>
        </w:tc>
        <w:tc>
          <w:tcPr>
            <w:tcW w:type="dxa" w:w="1929"/>
          </w:tcPr>
          <w:p>
            <w:pPr>
              <w:spacing w:after="0"/>
            </w:pPr>
            <w:r>
              <w:rPr>
                <w:b w:val="0"/>
                <w:sz w:val="18"/>
              </w:rPr>
              <w:t>SOP-11</w:t>
            </w:r>
          </w:p>
        </w:tc>
      </w:tr>
      <w:tr>
        <w:trPr>
          <w:cantSplit w:val="true"/>
        </w:trPr>
        <w:tc>
          <w:tcPr>
            <w:tcW w:type="dxa" w:w="1350"/>
          </w:tcPr>
          <w:p>
            <w:pPr>
              <w:spacing w:after="0"/>
            </w:pPr>
            <w:r>
              <w:rPr>
                <w:b w:val="0"/>
                <w:sz w:val="18"/>
              </w:rPr>
              <w:t>F-400-01</w:t>
            </w:r>
          </w:p>
        </w:tc>
        <w:tc>
          <w:tcPr>
            <w:tcW w:type="dxa" w:w="6367"/>
          </w:tcPr>
          <w:p>
            <w:pPr>
              <w:spacing w:after="0"/>
            </w:pPr>
            <w:r>
              <w:rPr>
                <w:b w:val="0"/>
                <w:sz w:val="18"/>
              </w:rPr>
              <w:t>Privacy Incident Report</w:t>
            </w:r>
          </w:p>
        </w:tc>
        <w:tc>
          <w:tcPr>
            <w:tcW w:type="dxa" w:w="1929"/>
          </w:tcPr>
          <w:p>
            <w:pPr>
              <w:spacing w:after="0"/>
            </w:pPr>
            <w:r>
              <w:rPr>
                <w:b w:val="0"/>
                <w:sz w:val="18"/>
              </w:rPr>
              <w:t>SOP-12</w:t>
            </w:r>
          </w:p>
        </w:tc>
      </w:tr>
      <w:tr>
        <w:trPr>
          <w:cantSplit w:val="true"/>
        </w:trPr>
        <w:tc>
          <w:tcPr>
            <w:tcW w:type="dxa" w:w="1350"/>
          </w:tcPr>
          <w:p>
            <w:pPr>
              <w:spacing w:after="0"/>
            </w:pPr>
            <w:r>
              <w:rPr>
                <w:b w:val="0"/>
                <w:sz w:val="18"/>
              </w:rPr>
              <w:t>F-401-01</w:t>
            </w:r>
          </w:p>
        </w:tc>
        <w:tc>
          <w:tcPr>
            <w:tcW w:type="dxa" w:w="6367"/>
          </w:tcPr>
          <w:p>
            <w:pPr>
              <w:spacing w:after="0"/>
            </w:pPr>
            <w:r>
              <w:rPr>
                <w:b w:val="0"/>
                <w:sz w:val="18"/>
              </w:rPr>
              <w:t>Computerized System Inventory and Access Log</w:t>
            </w:r>
          </w:p>
        </w:tc>
        <w:tc>
          <w:tcPr>
            <w:tcW w:type="dxa" w:w="1929"/>
          </w:tcPr>
          <w:p>
            <w:pPr>
              <w:spacing w:after="0"/>
            </w:pPr>
            <w:r>
              <w:rPr>
                <w:b w:val="0"/>
                <w:sz w:val="18"/>
              </w:rPr>
              <w:t>SOP-12</w:t>
            </w:r>
          </w:p>
        </w:tc>
      </w:tr>
      <w:tr>
        <w:trPr>
          <w:cantSplit w:val="true"/>
        </w:trPr>
        <w:tc>
          <w:tcPr>
            <w:tcW w:type="dxa" w:w="1350"/>
          </w:tcPr>
          <w:p>
            <w:pPr>
              <w:spacing w:after="0"/>
            </w:pPr>
            <w:r>
              <w:rPr>
                <w:b w:val="0"/>
                <w:sz w:val="18"/>
              </w:rPr>
              <w:t>F-402-01</w:t>
            </w:r>
          </w:p>
        </w:tc>
        <w:tc>
          <w:tcPr>
            <w:tcW w:type="dxa" w:w="6367"/>
          </w:tcPr>
          <w:p>
            <w:pPr>
              <w:spacing w:after="0"/>
            </w:pPr>
            <w:r>
              <w:rPr>
                <w:b w:val="0"/>
                <w:sz w:val="18"/>
              </w:rPr>
              <w:t>Record Archiving and Retrieval Log</w:t>
            </w:r>
          </w:p>
        </w:tc>
        <w:tc>
          <w:tcPr>
            <w:tcW w:type="dxa" w:w="1929"/>
          </w:tcPr>
          <w:p>
            <w:pPr>
              <w:spacing w:after="0"/>
            </w:pPr>
            <w:r>
              <w:rPr>
                <w:b w:val="0"/>
                <w:sz w:val="18"/>
              </w:rPr>
              <w:t>SOP-12</w:t>
            </w:r>
          </w:p>
        </w:tc>
      </w:tr>
      <w:tr>
        <w:trPr>
          <w:cantSplit w:val="true"/>
        </w:trPr>
        <w:tc>
          <w:tcPr>
            <w:tcW w:type="dxa" w:w="1350"/>
          </w:tcPr>
          <w:p>
            <w:pPr>
              <w:spacing w:after="0"/>
            </w:pPr>
            <w:r>
              <w:rPr>
                <w:b w:val="0"/>
                <w:sz w:val="18"/>
              </w:rPr>
              <w:t>F-500-01</w:t>
            </w:r>
          </w:p>
        </w:tc>
        <w:tc>
          <w:tcPr>
            <w:tcW w:type="dxa" w:w="6367"/>
          </w:tcPr>
          <w:p>
            <w:pPr>
              <w:spacing w:after="0"/>
            </w:pPr>
            <w:r>
              <w:rPr>
                <w:b w:val="0"/>
                <w:sz w:val="18"/>
              </w:rPr>
              <w:t>Adverse Event Assessment Worksheet</w:t>
            </w:r>
          </w:p>
        </w:tc>
        <w:tc>
          <w:tcPr>
            <w:tcW w:type="dxa" w:w="1929"/>
          </w:tcPr>
          <w:p>
            <w:pPr>
              <w:spacing w:after="0"/>
            </w:pPr>
            <w:r>
              <w:rPr>
                <w:b w:val="0"/>
                <w:sz w:val="18"/>
              </w:rPr>
              <w:t>SOP-09</w:t>
            </w:r>
          </w:p>
        </w:tc>
      </w:tr>
      <w:tr>
        <w:trPr>
          <w:cantSplit w:val="true"/>
        </w:trPr>
        <w:tc>
          <w:tcPr>
            <w:tcW w:type="dxa" w:w="1350"/>
          </w:tcPr>
          <w:p>
            <w:pPr>
              <w:spacing w:after="0"/>
            </w:pPr>
            <w:r>
              <w:rPr>
                <w:b w:val="0"/>
                <w:sz w:val="18"/>
              </w:rPr>
              <w:t>F-501-01</w:t>
            </w:r>
          </w:p>
        </w:tc>
        <w:tc>
          <w:tcPr>
            <w:tcW w:type="dxa" w:w="6367"/>
          </w:tcPr>
          <w:p>
            <w:pPr>
              <w:spacing w:after="0"/>
            </w:pPr>
            <w:r>
              <w:rPr>
                <w:b w:val="0"/>
                <w:sz w:val="18"/>
              </w:rPr>
              <w:t>SAE Reporting Tracker</w:t>
            </w:r>
          </w:p>
        </w:tc>
        <w:tc>
          <w:tcPr>
            <w:tcW w:type="dxa" w:w="1929"/>
          </w:tcPr>
          <w:p>
            <w:pPr>
              <w:spacing w:after="0"/>
            </w:pPr>
            <w:r>
              <w:rPr>
                <w:b w:val="0"/>
                <w:sz w:val="18"/>
              </w:rPr>
              <w:t>SOP-09</w:t>
            </w:r>
          </w:p>
        </w:tc>
      </w:tr>
      <w:tr>
        <w:trPr>
          <w:cantSplit w:val="true"/>
        </w:trPr>
        <w:tc>
          <w:tcPr>
            <w:tcW w:type="dxa" w:w="1350"/>
          </w:tcPr>
          <w:p>
            <w:pPr>
              <w:spacing w:after="0"/>
            </w:pPr>
            <w:r>
              <w:rPr>
                <w:b w:val="0"/>
                <w:sz w:val="18"/>
              </w:rPr>
              <w:t>F-502-01</w:t>
            </w:r>
          </w:p>
        </w:tc>
        <w:tc>
          <w:tcPr>
            <w:tcW w:type="dxa" w:w="6367"/>
          </w:tcPr>
          <w:p>
            <w:pPr>
              <w:spacing w:after="0"/>
            </w:pPr>
            <w:r>
              <w:rPr>
                <w:b w:val="0"/>
                <w:sz w:val="18"/>
              </w:rPr>
              <w:t>Reportable New Information Assessment</w:t>
            </w:r>
          </w:p>
        </w:tc>
        <w:tc>
          <w:tcPr>
            <w:tcW w:type="dxa" w:w="1929"/>
          </w:tcPr>
          <w:p>
            <w:pPr>
              <w:spacing w:after="0"/>
            </w:pPr>
            <w:r>
              <w:rPr>
                <w:b w:val="0"/>
                <w:sz w:val="18"/>
              </w:rPr>
              <w:t>SOP-09</w:t>
            </w:r>
          </w:p>
        </w:tc>
      </w:tr>
      <w:tr>
        <w:trPr>
          <w:cantSplit w:val="true"/>
        </w:trPr>
        <w:tc>
          <w:tcPr>
            <w:tcW w:type="dxa" w:w="1350"/>
          </w:tcPr>
          <w:p>
            <w:pPr>
              <w:spacing w:after="0"/>
            </w:pPr>
            <w:r>
              <w:rPr>
                <w:b w:val="0"/>
                <w:sz w:val="18"/>
              </w:rPr>
              <w:t>F-503-01</w:t>
            </w:r>
          </w:p>
        </w:tc>
        <w:tc>
          <w:tcPr>
            <w:tcW w:type="dxa" w:w="6367"/>
          </w:tcPr>
          <w:p>
            <w:pPr>
              <w:spacing w:after="0"/>
            </w:pPr>
            <w:r>
              <w:rPr>
                <w:b w:val="0"/>
                <w:sz w:val="18"/>
              </w:rPr>
              <w:t>Pregnancy Report Tracker</w:t>
            </w:r>
          </w:p>
        </w:tc>
        <w:tc>
          <w:tcPr>
            <w:tcW w:type="dxa" w:w="1929"/>
          </w:tcPr>
          <w:p>
            <w:pPr>
              <w:spacing w:after="0"/>
            </w:pPr>
            <w:r>
              <w:rPr>
                <w:b w:val="0"/>
                <w:sz w:val="18"/>
              </w:rPr>
              <w:t>SOP-09</w:t>
            </w:r>
          </w:p>
        </w:tc>
      </w:tr>
      <w:tr>
        <w:trPr>
          <w:cantSplit w:val="true"/>
        </w:trPr>
        <w:tc>
          <w:tcPr>
            <w:tcW w:type="dxa" w:w="1350"/>
          </w:tcPr>
          <w:p>
            <w:pPr>
              <w:spacing w:after="0"/>
            </w:pPr>
            <w:r>
              <w:rPr>
                <w:b w:val="0"/>
                <w:sz w:val="18"/>
              </w:rPr>
              <w:t>F-600-01</w:t>
            </w:r>
          </w:p>
        </w:tc>
        <w:tc>
          <w:tcPr>
            <w:tcW w:type="dxa" w:w="6367"/>
          </w:tcPr>
          <w:p>
            <w:pPr>
              <w:spacing w:after="0"/>
            </w:pPr>
            <w:r>
              <w:rPr>
                <w:b w:val="0"/>
                <w:sz w:val="18"/>
              </w:rPr>
              <w:t>Monitoring Visit Log</w:t>
            </w:r>
          </w:p>
        </w:tc>
        <w:tc>
          <w:tcPr>
            <w:tcW w:type="dxa" w:w="1929"/>
          </w:tcPr>
          <w:p>
            <w:pPr>
              <w:spacing w:after="0"/>
            </w:pPr>
            <w:r>
              <w:rPr>
                <w:b w:val="0"/>
                <w:sz w:val="18"/>
              </w:rPr>
              <w:t>SOP-13</w:t>
            </w:r>
          </w:p>
        </w:tc>
      </w:tr>
      <w:tr>
        <w:trPr>
          <w:cantSplit w:val="true"/>
        </w:trPr>
        <w:tc>
          <w:tcPr>
            <w:tcW w:type="dxa" w:w="1350"/>
          </w:tcPr>
          <w:p>
            <w:pPr>
              <w:spacing w:after="0"/>
            </w:pPr>
            <w:r>
              <w:rPr>
                <w:b w:val="0"/>
                <w:sz w:val="18"/>
              </w:rPr>
              <w:t>F-600-02</w:t>
            </w:r>
          </w:p>
        </w:tc>
        <w:tc>
          <w:tcPr>
            <w:tcW w:type="dxa" w:w="6367"/>
          </w:tcPr>
          <w:p>
            <w:pPr>
              <w:spacing w:after="0"/>
            </w:pPr>
            <w:r>
              <w:rPr>
                <w:b w:val="0"/>
                <w:sz w:val="18"/>
              </w:rPr>
              <w:t>Monitoring Follow-Up Action Tracker</w:t>
            </w:r>
          </w:p>
        </w:tc>
        <w:tc>
          <w:tcPr>
            <w:tcW w:type="dxa" w:w="1929"/>
          </w:tcPr>
          <w:p>
            <w:pPr>
              <w:spacing w:after="0"/>
            </w:pPr>
            <w:r>
              <w:rPr>
                <w:b w:val="0"/>
                <w:sz w:val="18"/>
              </w:rPr>
              <w:t>SOP-13</w:t>
            </w:r>
          </w:p>
        </w:tc>
      </w:tr>
      <w:tr>
        <w:trPr>
          <w:cantSplit w:val="true"/>
        </w:trPr>
        <w:tc>
          <w:tcPr>
            <w:tcW w:type="dxa" w:w="1350"/>
          </w:tcPr>
          <w:p>
            <w:pPr>
              <w:spacing w:after="0"/>
            </w:pPr>
            <w:r>
              <w:rPr>
                <w:b w:val="0"/>
                <w:sz w:val="18"/>
              </w:rPr>
              <w:t>F-601-01</w:t>
            </w:r>
          </w:p>
        </w:tc>
        <w:tc>
          <w:tcPr>
            <w:tcW w:type="dxa" w:w="6367"/>
          </w:tcPr>
          <w:p>
            <w:pPr>
              <w:spacing w:after="0"/>
            </w:pPr>
            <w:r>
              <w:rPr>
                <w:b w:val="0"/>
                <w:sz w:val="18"/>
              </w:rPr>
              <w:t>Study Closeout Checklist</w:t>
            </w:r>
          </w:p>
        </w:tc>
        <w:tc>
          <w:tcPr>
            <w:tcW w:type="dxa" w:w="1929"/>
          </w:tcPr>
          <w:p>
            <w:pPr>
              <w:spacing w:after="0"/>
            </w:pPr>
            <w:r>
              <w:rPr>
                <w:b w:val="0"/>
                <w:sz w:val="18"/>
              </w:rPr>
              <w:t>SOP-15</w:t>
            </w:r>
          </w:p>
        </w:tc>
      </w:tr>
      <w:tr>
        <w:trPr>
          <w:cantSplit w:val="true"/>
        </w:trPr>
        <w:tc>
          <w:tcPr>
            <w:tcW w:type="dxa" w:w="1350"/>
          </w:tcPr>
          <w:p>
            <w:pPr>
              <w:spacing w:after="0"/>
            </w:pPr>
            <w:r>
              <w:rPr>
                <w:b w:val="0"/>
                <w:sz w:val="18"/>
              </w:rPr>
              <w:t>F-700-01</w:t>
            </w:r>
          </w:p>
        </w:tc>
        <w:tc>
          <w:tcPr>
            <w:tcW w:type="dxa" w:w="6367"/>
          </w:tcPr>
          <w:p>
            <w:pPr>
              <w:spacing w:after="0"/>
            </w:pPr>
            <w:r>
              <w:rPr>
                <w:b w:val="0"/>
                <w:sz w:val="18"/>
              </w:rPr>
              <w:t>Internal QC Review Checklist</w:t>
            </w:r>
          </w:p>
        </w:tc>
        <w:tc>
          <w:tcPr>
            <w:tcW w:type="dxa" w:w="1929"/>
          </w:tcPr>
          <w:p>
            <w:pPr>
              <w:spacing w:after="0"/>
            </w:pPr>
            <w:r>
              <w:rPr>
                <w:b w:val="0"/>
                <w:sz w:val="18"/>
              </w:rPr>
              <w:t>SOP-14</w:t>
            </w:r>
          </w:p>
        </w:tc>
      </w:tr>
      <w:tr>
        <w:trPr>
          <w:cantSplit w:val="true"/>
        </w:trPr>
        <w:tc>
          <w:tcPr>
            <w:tcW w:type="dxa" w:w="1350"/>
          </w:tcPr>
          <w:p>
            <w:pPr>
              <w:spacing w:after="0"/>
            </w:pPr>
            <w:r>
              <w:rPr>
                <w:b w:val="0"/>
                <w:sz w:val="18"/>
              </w:rPr>
              <w:t>F-700-02</w:t>
            </w:r>
          </w:p>
        </w:tc>
        <w:tc>
          <w:tcPr>
            <w:tcW w:type="dxa" w:w="6367"/>
          </w:tcPr>
          <w:p>
            <w:pPr>
              <w:spacing w:after="0"/>
            </w:pPr>
            <w:r>
              <w:rPr>
                <w:b w:val="0"/>
                <w:sz w:val="18"/>
              </w:rPr>
              <w:t>Annual Audit Plan and Audit Report</w:t>
            </w:r>
          </w:p>
        </w:tc>
        <w:tc>
          <w:tcPr>
            <w:tcW w:type="dxa" w:w="1929"/>
          </w:tcPr>
          <w:p>
            <w:pPr>
              <w:spacing w:after="0"/>
            </w:pPr>
            <w:r>
              <w:rPr>
                <w:b w:val="0"/>
                <w:sz w:val="18"/>
              </w:rPr>
              <w:t>SOP-14</w:t>
            </w:r>
          </w:p>
        </w:tc>
      </w:tr>
      <w:tr>
        <w:trPr>
          <w:cantSplit w:val="true"/>
        </w:trPr>
        <w:tc>
          <w:tcPr>
            <w:tcW w:type="dxa" w:w="1350"/>
          </w:tcPr>
          <w:p>
            <w:pPr>
              <w:spacing w:after="0"/>
            </w:pPr>
            <w:r>
              <w:rPr>
                <w:b w:val="0"/>
                <w:sz w:val="18"/>
              </w:rPr>
              <w:t>F-702-01</w:t>
            </w:r>
          </w:p>
        </w:tc>
        <w:tc>
          <w:tcPr>
            <w:tcW w:type="dxa" w:w="6367"/>
          </w:tcPr>
          <w:p>
            <w:pPr>
              <w:spacing w:after="0"/>
            </w:pPr>
            <w:r>
              <w:rPr>
                <w:b w:val="0"/>
                <w:sz w:val="18"/>
              </w:rPr>
              <w:t>Inspection Request and Document Log</w:t>
            </w:r>
          </w:p>
        </w:tc>
        <w:tc>
          <w:tcPr>
            <w:tcW w:type="dxa" w:w="1929"/>
          </w:tcPr>
          <w:p>
            <w:pPr>
              <w:spacing w:after="0"/>
            </w:pPr>
            <w:r>
              <w:rPr>
                <w:b w:val="0"/>
                <w:sz w:val="18"/>
              </w:rPr>
              <w:t>SOP-13</w:t>
            </w:r>
          </w:p>
        </w:tc>
      </w:tr>
      <w:tr>
        <w:trPr>
          <w:cantSplit w:val="true"/>
        </w:trPr>
        <w:tc>
          <w:tcPr>
            <w:tcW w:type="dxa" w:w="1350"/>
          </w:tcPr>
          <w:p>
            <w:pPr>
              <w:spacing w:after="0"/>
            </w:pPr>
            <w:r>
              <w:rPr>
                <w:b w:val="0"/>
                <w:sz w:val="18"/>
              </w:rPr>
              <w:t>F-703-01</w:t>
            </w:r>
          </w:p>
        </w:tc>
        <w:tc>
          <w:tcPr>
            <w:tcW w:type="dxa" w:w="6367"/>
          </w:tcPr>
          <w:p>
            <w:pPr>
              <w:spacing w:after="0"/>
            </w:pPr>
            <w:r>
              <w:rPr>
                <w:b w:val="0"/>
                <w:sz w:val="18"/>
              </w:rPr>
              <w:t>CAPA Record</w:t>
            </w:r>
          </w:p>
        </w:tc>
        <w:tc>
          <w:tcPr>
            <w:tcW w:type="dxa" w:w="1929"/>
          </w:tcPr>
          <w:p>
            <w:pPr>
              <w:spacing w:after="0"/>
            </w:pPr>
            <w:r>
              <w:rPr>
                <w:b w:val="0"/>
                <w:sz w:val="18"/>
              </w:rPr>
              <w:t>SOP-08</w:t>
            </w:r>
          </w:p>
        </w:tc>
      </w:tr>
      <w:tr>
        <w:trPr>
          <w:cantSplit w:val="true"/>
        </w:trPr>
        <w:tc>
          <w:tcPr>
            <w:tcW w:type="dxa" w:w="1350"/>
          </w:tcPr>
          <w:p>
            <w:pPr>
              <w:spacing w:after="0"/>
            </w:pPr>
            <w:r>
              <w:rPr>
                <w:b w:val="0"/>
                <w:sz w:val="18"/>
              </w:rPr>
              <w:t>F-703-02</w:t>
            </w:r>
          </w:p>
        </w:tc>
        <w:tc>
          <w:tcPr>
            <w:tcW w:type="dxa" w:w="6367"/>
          </w:tcPr>
          <w:p>
            <w:pPr>
              <w:spacing w:after="0"/>
            </w:pPr>
            <w:r>
              <w:rPr>
                <w:b w:val="0"/>
                <w:sz w:val="18"/>
              </w:rPr>
              <w:t>CAPA Log</w:t>
            </w:r>
          </w:p>
        </w:tc>
        <w:tc>
          <w:tcPr>
            <w:tcW w:type="dxa" w:w="1929"/>
          </w:tcPr>
          <w:p>
            <w:pPr>
              <w:spacing w:after="0"/>
            </w:pPr>
            <w:r>
              <w:rPr>
                <w:b w:val="0"/>
                <w:sz w:val="18"/>
              </w:rPr>
              <w:t>SOP-08</w:t>
            </w:r>
          </w:p>
        </w:tc>
      </w:tr>
      <w:tr>
        <w:trPr>
          <w:cantSplit w:val="true"/>
        </w:trPr>
        <w:tc>
          <w:tcPr>
            <w:tcW w:type="dxa" w:w="1350"/>
          </w:tcPr>
          <w:p>
            <w:pPr>
              <w:spacing w:after="0"/>
            </w:pPr>
            <w:r>
              <w:rPr>
                <w:b w:val="0"/>
                <w:sz w:val="18"/>
              </w:rPr>
              <w:t>F-705-01</w:t>
            </w:r>
          </w:p>
        </w:tc>
        <w:tc>
          <w:tcPr>
            <w:tcW w:type="dxa" w:w="6367"/>
          </w:tcPr>
          <w:p>
            <w:pPr>
              <w:spacing w:after="0"/>
            </w:pPr>
            <w:r>
              <w:rPr>
                <w:b w:val="0"/>
                <w:sz w:val="18"/>
              </w:rPr>
              <w:t>Business Continuity Plan and Emergency Contacts</w:t>
            </w:r>
          </w:p>
        </w:tc>
        <w:tc>
          <w:tcPr>
            <w:tcW w:type="dxa" w:w="1929"/>
          </w:tcPr>
          <w:p>
            <w:pPr>
              <w:spacing w:after="0"/>
            </w:pPr>
            <w:r>
              <w:rPr>
                <w:b w:val="0"/>
                <w:sz w:val="18"/>
              </w:rPr>
              <w:t>SOP-16</w:t>
            </w:r>
          </w:p>
        </w:tc>
      </w:tr>
      <w:tr>
        <w:trPr>
          <w:cantSplit w:val="true"/>
        </w:trPr>
        <w:tc>
          <w:tcPr>
            <w:tcW w:type="dxa" w:w="1350"/>
          </w:tcPr>
          <w:p>
            <w:pPr>
              <w:spacing w:after="0"/>
            </w:pPr>
            <w:r>
              <w:rPr>
                <w:b w:val="0"/>
                <w:sz w:val="18"/>
              </w:rPr>
              <w:t>F-105-01</w:t>
            </w:r>
          </w:p>
        </w:tc>
        <w:tc>
          <w:tcPr>
            <w:tcW w:type="dxa" w:w="6367"/>
          </w:tcPr>
          <w:p>
            <w:pPr>
              <w:spacing w:after="0"/>
            </w:pPr>
            <w:r>
              <w:rPr>
                <w:b w:val="0"/>
                <w:sz w:val="18"/>
              </w:rPr>
              <w:t>Service Provider Qualification and Oversight Record</w:t>
            </w:r>
          </w:p>
        </w:tc>
        <w:tc>
          <w:tcPr>
            <w:tcW w:type="dxa" w:w="1929"/>
          </w:tcPr>
          <w:p>
            <w:pPr>
              <w:spacing w:after="0"/>
            </w:pPr>
            <w:r>
              <w:rPr>
                <w:b w:val="0"/>
                <w:sz w:val="18"/>
              </w:rPr>
              <w:t>SOP-M1</w:t>
            </w:r>
          </w:p>
        </w:tc>
      </w:tr>
      <w:tr>
        <w:trPr>
          <w:cantSplit w:val="true"/>
        </w:trPr>
        <w:tc>
          <w:tcPr>
            <w:tcW w:type="dxa" w:w="1350"/>
          </w:tcPr>
          <w:p>
            <w:pPr>
              <w:spacing w:after="0"/>
            </w:pPr>
            <w:r>
              <w:rPr>
                <w:b w:val="0"/>
                <w:sz w:val="18"/>
              </w:rPr>
              <w:t>F-200-01</w:t>
            </w:r>
          </w:p>
        </w:tc>
        <w:tc>
          <w:tcPr>
            <w:tcW w:type="dxa" w:w="6367"/>
          </w:tcPr>
          <w:p>
            <w:pPr>
              <w:spacing w:after="0"/>
            </w:pPr>
            <w:r>
              <w:rPr>
                <w:b w:val="0"/>
                <w:sz w:val="18"/>
              </w:rPr>
              <w:t>Study Feasibility Assessment</w:t>
            </w:r>
          </w:p>
        </w:tc>
        <w:tc>
          <w:tcPr>
            <w:tcW w:type="dxa" w:w="1929"/>
          </w:tcPr>
          <w:p>
            <w:pPr>
              <w:spacing w:after="0"/>
            </w:pPr>
            <w:r>
              <w:rPr>
                <w:b w:val="0"/>
                <w:sz w:val="18"/>
              </w:rPr>
              <w:t>SOP-M2</w:t>
            </w:r>
          </w:p>
        </w:tc>
      </w:tr>
      <w:tr>
        <w:trPr>
          <w:cantSplit w:val="true"/>
        </w:trPr>
        <w:tc>
          <w:tcPr>
            <w:tcW w:type="dxa" w:w="1350"/>
          </w:tcPr>
          <w:p>
            <w:pPr>
              <w:spacing w:after="0"/>
            </w:pPr>
            <w:r>
              <w:rPr>
                <w:b w:val="0"/>
                <w:sz w:val="18"/>
              </w:rPr>
              <w:t>F-201-01</w:t>
            </w:r>
          </w:p>
        </w:tc>
        <w:tc>
          <w:tcPr>
            <w:tcW w:type="dxa" w:w="6367"/>
          </w:tcPr>
          <w:p>
            <w:pPr>
              <w:spacing w:after="0"/>
            </w:pPr>
            <w:r>
              <w:rPr>
                <w:b w:val="0"/>
                <w:sz w:val="18"/>
              </w:rPr>
              <w:t>Contract and Budget Review Checklist</w:t>
            </w:r>
          </w:p>
        </w:tc>
        <w:tc>
          <w:tcPr>
            <w:tcW w:type="dxa" w:w="1929"/>
          </w:tcPr>
          <w:p>
            <w:pPr>
              <w:spacing w:after="0"/>
            </w:pPr>
            <w:r>
              <w:rPr>
                <w:b w:val="0"/>
                <w:sz w:val="18"/>
              </w:rPr>
              <w:t>SOP-M2</w:t>
            </w:r>
          </w:p>
        </w:tc>
      </w:tr>
      <w:tr>
        <w:trPr>
          <w:cantSplit w:val="true"/>
        </w:trPr>
        <w:tc>
          <w:tcPr>
            <w:tcW w:type="dxa" w:w="1350"/>
          </w:tcPr>
          <w:p>
            <w:pPr>
              <w:spacing w:after="0"/>
            </w:pPr>
            <w:r>
              <w:rPr>
                <w:b w:val="0"/>
                <w:sz w:val="18"/>
              </w:rPr>
              <w:t>F-202-01</w:t>
            </w:r>
          </w:p>
        </w:tc>
        <w:tc>
          <w:tcPr>
            <w:tcW w:type="dxa" w:w="6367"/>
          </w:tcPr>
          <w:p>
            <w:pPr>
              <w:spacing w:after="0"/>
            </w:pPr>
            <w:r>
              <w:rPr>
                <w:b w:val="0"/>
                <w:sz w:val="18"/>
              </w:rPr>
              <w:t>Coverage Analysis Worksheet</w:t>
            </w:r>
          </w:p>
        </w:tc>
        <w:tc>
          <w:tcPr>
            <w:tcW w:type="dxa" w:w="1929"/>
          </w:tcPr>
          <w:p>
            <w:pPr>
              <w:spacing w:after="0"/>
            </w:pPr>
            <w:r>
              <w:rPr>
                <w:b w:val="0"/>
                <w:sz w:val="18"/>
              </w:rPr>
              <w:t>SOP-M2</w:t>
            </w:r>
          </w:p>
        </w:tc>
      </w:tr>
      <w:tr>
        <w:trPr>
          <w:cantSplit w:val="true"/>
        </w:trPr>
        <w:tc>
          <w:tcPr>
            <w:tcW w:type="dxa" w:w="1350"/>
          </w:tcPr>
          <w:p>
            <w:pPr>
              <w:spacing w:after="0"/>
            </w:pPr>
            <w:r>
              <w:rPr>
                <w:b w:val="0"/>
                <w:sz w:val="18"/>
              </w:rPr>
              <w:t>F-300-02</w:t>
            </w:r>
          </w:p>
        </w:tc>
        <w:tc>
          <w:tcPr>
            <w:tcW w:type="dxa" w:w="6367"/>
          </w:tcPr>
          <w:p>
            <w:pPr>
              <w:spacing w:after="0"/>
            </w:pPr>
            <w:r>
              <w:rPr>
                <w:b w:val="0"/>
                <w:sz w:val="18"/>
              </w:rPr>
              <w:t>Recruitment Material Tracking Log</w:t>
            </w:r>
          </w:p>
        </w:tc>
        <w:tc>
          <w:tcPr>
            <w:tcW w:type="dxa" w:w="1929"/>
          </w:tcPr>
          <w:p>
            <w:pPr>
              <w:spacing w:after="0"/>
            </w:pPr>
            <w:r>
              <w:rPr>
                <w:b w:val="0"/>
                <w:sz w:val="18"/>
              </w:rPr>
              <w:t>SOP-M3</w:t>
            </w:r>
          </w:p>
        </w:tc>
      </w:tr>
      <w:tr>
        <w:trPr>
          <w:cantSplit w:val="true"/>
        </w:trPr>
        <w:tc>
          <w:tcPr>
            <w:tcW w:type="dxa" w:w="1350"/>
          </w:tcPr>
          <w:p>
            <w:pPr>
              <w:spacing w:after="0"/>
            </w:pPr>
            <w:r>
              <w:rPr>
                <w:b w:val="0"/>
                <w:sz w:val="18"/>
              </w:rPr>
              <w:t>F-313-01</w:t>
            </w:r>
          </w:p>
        </w:tc>
        <w:tc>
          <w:tcPr>
            <w:tcW w:type="dxa" w:w="6367"/>
          </w:tcPr>
          <w:p>
            <w:pPr>
              <w:spacing w:after="0"/>
            </w:pPr>
            <w:r>
              <w:rPr>
                <w:b w:val="0"/>
                <w:sz w:val="18"/>
              </w:rPr>
              <w:t>Remote Visit and Home Health Visit Record</w:t>
            </w:r>
          </w:p>
        </w:tc>
        <w:tc>
          <w:tcPr>
            <w:tcW w:type="dxa" w:w="1929"/>
          </w:tcPr>
          <w:p>
            <w:pPr>
              <w:spacing w:after="0"/>
            </w:pPr>
            <w:r>
              <w:rPr>
                <w:b w:val="0"/>
                <w:sz w:val="18"/>
              </w:rPr>
              <w:t>SOP-M4</w:t>
            </w:r>
          </w:p>
        </w:tc>
      </w:tr>
      <w:tr>
        <w:trPr>
          <w:cantSplit w:val="true"/>
        </w:trPr>
        <w:tc>
          <w:tcPr>
            <w:tcW w:type="dxa" w:w="1350"/>
          </w:tcPr>
          <w:p>
            <w:pPr>
              <w:spacing w:after="0"/>
            </w:pPr>
            <w:r>
              <w:rPr>
                <w:b w:val="0"/>
                <w:sz w:val="18"/>
              </w:rPr>
              <w:t>F-704-01</w:t>
            </w:r>
          </w:p>
        </w:tc>
        <w:tc>
          <w:tcPr>
            <w:tcW w:type="dxa" w:w="6367"/>
          </w:tcPr>
          <w:p>
            <w:pPr>
              <w:spacing w:after="0"/>
            </w:pPr>
            <w:r>
              <w:rPr>
                <w:b w:val="0"/>
                <w:sz w:val="18"/>
              </w:rPr>
              <w:t>Integrity Concern Report</w:t>
            </w:r>
          </w:p>
        </w:tc>
        <w:tc>
          <w:tcPr>
            <w:tcW w:type="dxa" w:w="1929"/>
          </w:tcPr>
          <w:p>
            <w:pPr>
              <w:spacing w:after="0"/>
            </w:pPr>
            <w:r>
              <w:rPr>
                <w:b w:val="0"/>
                <w:sz w:val="18"/>
              </w:rPr>
              <w:t>SOP-M5</w:t>
            </w:r>
          </w:p>
        </w:tc>
      </w:tr>
    </w:tbl>
    <w:p>
      <w:pPr>
        <w:spacing w:after="40"/>
      </w:pPr>
    </w:p>
    <w:p>
      <w:pPr>
        <w:pStyle w:val="Heading1"/>
      </w:pPr>
      <w:r>
        <w:t>Guides and appendices</w:t>
      </w:r>
    </w:p>
    <w:tbl>
      <w:tblPr>
        <w:tblStyle w:val="TableGrid"/>
        <w:tblW w:type="auto" w:w="0"/>
        <w:jc w:val="left"/>
        <w:tblLayout w:type="fixed"/>
        <w:tblLook w:firstColumn="1" w:firstRow="1" w:lastColumn="0" w:lastRow="0" w:noHBand="0" w:noVBand="1" w:val="04A0"/>
      </w:tblPr>
      <w:tblGrid>
        <w:gridCol w:w="3376"/>
        <w:gridCol w:w="6271"/>
      </w:tblGrid>
      <w:tr>
        <w:trPr>
          <w:tblHeader w:val="true"/>
        </w:trPr>
        <w:tc>
          <w:tcPr>
            <w:tcW w:type="dxa" w:w="3376"/>
            <w:shd w:val="clear" w:color="auto" w:fill="D9E2F3"/>
          </w:tcPr>
          <w:p>
            <w:pPr>
              <w:keepNext/>
              <w:spacing w:after="0"/>
            </w:pPr>
            <w:r>
              <w:rPr>
                <w:b/>
                <w:sz w:val="18"/>
              </w:rPr>
              <w:t>Document</w:t>
            </w:r>
          </w:p>
        </w:tc>
        <w:tc>
          <w:tcPr>
            <w:tcW w:type="dxa" w:w="6271"/>
            <w:shd w:val="clear" w:color="auto" w:fill="D9E2F3"/>
          </w:tcPr>
          <w:p>
            <w:pPr>
              <w:keepNext/>
              <w:spacing w:after="0"/>
            </w:pPr>
            <w:r>
              <w:rPr>
                <w:b/>
                <w:sz w:val="18"/>
              </w:rPr>
              <w:t>Purpose</w:t>
            </w:r>
          </w:p>
        </w:tc>
      </w:tr>
      <w:tr>
        <w:trPr>
          <w:cantSplit w:val="true"/>
        </w:trPr>
        <w:tc>
          <w:tcPr>
            <w:tcW w:type="dxa" w:w="3376"/>
          </w:tcPr>
          <w:p>
            <w:pPr>
              <w:keepNext/>
              <w:spacing w:after="0"/>
            </w:pPr>
            <w:r>
              <w:rPr>
                <w:b w:val="0"/>
                <w:sz w:val="18"/>
              </w:rPr>
              <w:t>Adoption Guide (Lean Edition)</w:t>
            </w:r>
          </w:p>
        </w:tc>
        <w:tc>
          <w:tcPr>
            <w:tcW w:type="dxa" w:w="6271"/>
          </w:tcPr>
          <w:p>
            <w:pPr>
              <w:keepNext/>
              <w:spacing w:after="0"/>
            </w:pPr>
            <w:r>
              <w:rPr>
                <w:b w:val="0"/>
                <w:sz w:val="18"/>
              </w:rPr>
              <w:t>How to adopt, configure, approve and roll out the library.</w:t>
            </w:r>
          </w:p>
        </w:tc>
      </w:tr>
      <w:tr>
        <w:trPr>
          <w:cantSplit w:val="true"/>
        </w:trPr>
        <w:tc>
          <w:tcPr>
            <w:tcW w:type="dxa" w:w="3376"/>
          </w:tcPr>
          <w:p>
            <w:pPr>
              <w:keepNext/>
              <w:spacing w:after="0"/>
            </w:pPr>
            <w:r>
              <w:rPr>
                <w:b w:val="0"/>
                <w:sz w:val="18"/>
              </w:rPr>
              <w:t>State Law Worksheet</w:t>
            </w:r>
          </w:p>
        </w:tc>
        <w:tc>
          <w:tcPr>
            <w:tcW w:type="dxa" w:w="6271"/>
          </w:tcPr>
          <w:p>
            <w:pPr>
              <w:keepNext/>
              <w:spacing w:after="0"/>
            </w:pPr>
            <w:r>
              <w:rPr>
                <w:b w:val="0"/>
                <w:sz w:val="18"/>
              </w:rPr>
              <w:t>Site-completed worksheet referenced by several SOPs.</w:t>
            </w:r>
          </w:p>
        </w:tc>
      </w:tr>
      <w:tr>
        <w:trPr>
          <w:cantSplit w:val="true"/>
        </w:trPr>
        <w:tc>
          <w:tcPr>
            <w:tcW w:type="dxa" w:w="3376"/>
          </w:tcPr>
          <w:p>
            <w:pPr>
              <w:spacing w:after="0"/>
            </w:pPr>
            <w:r>
              <w:rPr>
                <w:b w:val="0"/>
                <w:sz w:val="18"/>
              </w:rPr>
              <w:t>Regulatory Currency Note</w:t>
            </w:r>
          </w:p>
        </w:tc>
        <w:tc>
          <w:tcPr>
            <w:tcW w:type="dxa" w:w="6271"/>
          </w:tcPr>
          <w:p>
            <w:pPr>
              <w:spacing w:after="0"/>
            </w:pPr>
            <w:r>
              <w:rPr>
                <w:b w:val="0"/>
                <w:sz w:val="18"/>
              </w:rPr>
              <w:t>The regulatory baseline used and the items to re-check.</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Lean Edition.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rPr>
            <w:t>American Institute for Medical Research (AIMR)</w:t>
          </w:r>
        </w:p>
      </w:tc>
      <w:tc>
        <w:tcPr>
          <w:tcW w:type="dxa" w:w="4438"/>
        </w:tcPr>
        <w:p>
          <w:pPr>
            <w:jc w:val="center"/>
          </w:pPr>
          <w:r>
            <w:rPr>
              <w:b/>
              <w:color w:val="404040"/>
              <w:sz w:val="17"/>
            </w:rPr>
            <w:t>Start Here</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Independent Site SOP Library: Lean Edition</dc:title>
  <dc:subject>Index</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